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7C7" w:rsidRPr="00693A7C" w:rsidRDefault="00D247C7" w:rsidP="00D247C7">
      <w:pPr>
        <w:pStyle w:val="Default"/>
        <w:rPr>
          <w:rFonts w:ascii="標楷體" w:eastAsia="標楷體" w:hAnsi="標楷體"/>
          <w:color w:val="000000" w:themeColor="text1"/>
        </w:rPr>
      </w:pPr>
    </w:p>
    <w:p w:rsidR="00370BFD" w:rsidRPr="00693A7C" w:rsidRDefault="000E5E21" w:rsidP="001E5130">
      <w:pPr>
        <w:jc w:val="center"/>
        <w:rPr>
          <w:rFonts w:ascii="標楷體" w:eastAsia="標楷體" w:hAnsi="標楷體"/>
          <w:b/>
          <w:sz w:val="32"/>
          <w:szCs w:val="32"/>
        </w:rPr>
      </w:pPr>
      <w:r w:rsidRPr="00693A7C">
        <w:rPr>
          <w:rFonts w:ascii="標楷體" w:eastAsia="標楷體" w:hAnsi="標楷體" w:hint="eastAsia"/>
          <w:b/>
          <w:color w:val="000000" w:themeColor="text1"/>
          <w:sz w:val="40"/>
          <w:szCs w:val="32"/>
        </w:rPr>
        <w:t>國立彰化師範大</w:t>
      </w:r>
      <w:r w:rsidRPr="00693A7C">
        <w:rPr>
          <w:rFonts w:ascii="標楷體" w:eastAsia="標楷體" w:hAnsi="標楷體" w:hint="eastAsia"/>
          <w:b/>
          <w:sz w:val="40"/>
          <w:szCs w:val="32"/>
        </w:rPr>
        <w:t>學</w:t>
      </w:r>
      <w:r w:rsidR="00E03484" w:rsidRPr="00693A7C">
        <w:rPr>
          <w:rFonts w:ascii="標楷體" w:eastAsia="標楷體" w:hAnsi="標楷體" w:hint="eastAsia"/>
          <w:b/>
          <w:sz w:val="40"/>
          <w:szCs w:val="32"/>
        </w:rPr>
        <w:t>各學院</w:t>
      </w:r>
      <w:r w:rsidR="0025013D" w:rsidRPr="00693A7C">
        <w:rPr>
          <w:rFonts w:ascii="標楷體" w:eastAsia="標楷體" w:hAnsi="標楷體" w:hint="eastAsia"/>
          <w:b/>
          <w:sz w:val="40"/>
          <w:szCs w:val="32"/>
        </w:rPr>
        <w:t>辦理著作</w:t>
      </w:r>
      <w:r w:rsidRPr="00693A7C">
        <w:rPr>
          <w:rFonts w:ascii="標楷體" w:eastAsia="標楷體" w:hAnsi="標楷體" w:hint="eastAsia"/>
          <w:b/>
          <w:sz w:val="40"/>
          <w:szCs w:val="32"/>
        </w:rPr>
        <w:t>外審作業注意事項</w:t>
      </w:r>
    </w:p>
    <w:p w:rsidR="001F2FD0" w:rsidRPr="00693A7C" w:rsidRDefault="00347D1E" w:rsidP="001F2FD0">
      <w:pPr>
        <w:jc w:val="right"/>
        <w:rPr>
          <w:rFonts w:ascii="標楷體" w:eastAsia="標楷體" w:hAnsi="標楷體"/>
          <w:sz w:val="22"/>
        </w:rPr>
      </w:pPr>
      <w:r w:rsidRPr="00693A7C">
        <w:rPr>
          <w:rFonts w:ascii="標楷體" w:eastAsia="標楷體" w:hAnsi="標楷體" w:hint="eastAsia"/>
          <w:sz w:val="22"/>
        </w:rPr>
        <w:t>1</w:t>
      </w:r>
      <w:r w:rsidR="00BF1ED0" w:rsidRPr="00693A7C">
        <w:rPr>
          <w:rFonts w:ascii="標楷體" w:eastAsia="標楷體" w:hAnsi="標楷體" w:hint="eastAsia"/>
          <w:sz w:val="22"/>
        </w:rPr>
        <w:t>10</w:t>
      </w:r>
      <w:r w:rsidR="001F2FD0" w:rsidRPr="00693A7C">
        <w:rPr>
          <w:rFonts w:ascii="標楷體" w:eastAsia="標楷體" w:hAnsi="標楷體"/>
          <w:sz w:val="22"/>
        </w:rPr>
        <w:t>年</w:t>
      </w:r>
      <w:r w:rsidRPr="00693A7C">
        <w:rPr>
          <w:rFonts w:ascii="標楷體" w:eastAsia="標楷體" w:hAnsi="標楷體"/>
          <w:sz w:val="22"/>
        </w:rPr>
        <w:t>5</w:t>
      </w:r>
      <w:r w:rsidR="001F2FD0" w:rsidRPr="00693A7C">
        <w:rPr>
          <w:rFonts w:ascii="標楷體" w:eastAsia="標楷體" w:hAnsi="標楷體"/>
          <w:sz w:val="22"/>
        </w:rPr>
        <w:t>月</w:t>
      </w:r>
      <w:r w:rsidRPr="00693A7C">
        <w:rPr>
          <w:rFonts w:ascii="標楷體" w:eastAsia="標楷體" w:hAnsi="標楷體"/>
          <w:sz w:val="22"/>
        </w:rPr>
        <w:t>27</w:t>
      </w:r>
      <w:r w:rsidR="001F2FD0" w:rsidRPr="00693A7C">
        <w:rPr>
          <w:rFonts w:ascii="標楷體" w:eastAsia="標楷體" w:hAnsi="標楷體"/>
          <w:sz w:val="22"/>
        </w:rPr>
        <w:t>日</w:t>
      </w:r>
      <w:r w:rsidRPr="00693A7C">
        <w:rPr>
          <w:rFonts w:ascii="標楷體" w:eastAsia="標楷體" w:hAnsi="標楷體"/>
          <w:sz w:val="22"/>
        </w:rPr>
        <w:t>本校109</w:t>
      </w:r>
      <w:r w:rsidR="001F2FD0" w:rsidRPr="00693A7C">
        <w:rPr>
          <w:rFonts w:ascii="標楷體" w:eastAsia="標楷體" w:hAnsi="標楷體"/>
          <w:sz w:val="22"/>
        </w:rPr>
        <w:t>學年度第</w:t>
      </w:r>
      <w:r w:rsidRPr="00693A7C">
        <w:rPr>
          <w:rFonts w:ascii="標楷體" w:eastAsia="標楷體" w:hAnsi="標楷體"/>
          <w:sz w:val="22"/>
        </w:rPr>
        <w:t>5次</w:t>
      </w:r>
      <w:r w:rsidR="001F2FD0" w:rsidRPr="00693A7C">
        <w:rPr>
          <w:rFonts w:ascii="標楷體" w:eastAsia="標楷體" w:hAnsi="標楷體"/>
          <w:sz w:val="22"/>
        </w:rPr>
        <w:t>校教</w:t>
      </w:r>
      <w:r w:rsidRPr="00693A7C">
        <w:rPr>
          <w:rFonts w:ascii="標楷體" w:eastAsia="標楷體" w:hAnsi="標楷體"/>
          <w:sz w:val="22"/>
        </w:rPr>
        <w:t>師評審委員會</w:t>
      </w:r>
      <w:r w:rsidR="00BF1ED0" w:rsidRPr="00693A7C">
        <w:rPr>
          <w:rFonts w:ascii="標楷體" w:eastAsia="標楷體" w:hAnsi="標楷體"/>
          <w:sz w:val="22"/>
        </w:rPr>
        <w:t>審議通過</w:t>
      </w:r>
    </w:p>
    <w:p w:rsidR="002B11A0" w:rsidRDefault="00E351F4" w:rsidP="001F2FD0">
      <w:pPr>
        <w:jc w:val="right"/>
        <w:rPr>
          <w:rFonts w:ascii="標楷體" w:eastAsia="標楷體" w:hAnsi="標楷體"/>
          <w:sz w:val="22"/>
        </w:rPr>
      </w:pPr>
      <w:r w:rsidRPr="00693A7C">
        <w:rPr>
          <w:rFonts w:ascii="標楷體" w:eastAsia="標楷體" w:hAnsi="標楷體" w:hint="eastAsia"/>
          <w:sz w:val="22"/>
        </w:rPr>
        <w:t>110</w:t>
      </w:r>
      <w:r w:rsidRPr="00693A7C">
        <w:rPr>
          <w:rFonts w:ascii="標楷體" w:eastAsia="標楷體" w:hAnsi="標楷體"/>
          <w:sz w:val="22"/>
        </w:rPr>
        <w:t>年10月21日本校109學年度第1次臨時校教師評審委員會修正通過第四點</w:t>
      </w:r>
    </w:p>
    <w:p w:rsidR="005007B2" w:rsidRPr="00693A7C" w:rsidRDefault="005007B2" w:rsidP="005007B2">
      <w:pPr>
        <w:jc w:val="right"/>
        <w:rPr>
          <w:rFonts w:ascii="標楷體" w:eastAsia="標楷體" w:hAnsi="標楷體"/>
          <w:b/>
          <w:sz w:val="32"/>
          <w:szCs w:val="32"/>
        </w:rPr>
      </w:pPr>
      <w:r w:rsidRPr="00693A7C">
        <w:rPr>
          <w:rFonts w:ascii="標楷體" w:eastAsia="標楷體" w:hAnsi="標楷體" w:hint="eastAsia"/>
          <w:sz w:val="22"/>
        </w:rPr>
        <w:t>11</w:t>
      </w:r>
      <w:r>
        <w:rPr>
          <w:rFonts w:ascii="標楷體" w:eastAsia="標楷體" w:hAnsi="標楷體" w:hint="eastAsia"/>
          <w:sz w:val="22"/>
        </w:rPr>
        <w:t>1</w:t>
      </w:r>
      <w:r w:rsidRPr="00693A7C">
        <w:rPr>
          <w:rFonts w:ascii="標楷體" w:eastAsia="標楷體" w:hAnsi="標楷體"/>
          <w:sz w:val="22"/>
        </w:rPr>
        <w:t>年1</w:t>
      </w:r>
      <w:r>
        <w:rPr>
          <w:rFonts w:ascii="標楷體" w:eastAsia="標楷體" w:hAnsi="標楷體" w:hint="eastAsia"/>
          <w:sz w:val="22"/>
        </w:rPr>
        <w:t>1</w:t>
      </w:r>
      <w:r w:rsidRPr="00693A7C">
        <w:rPr>
          <w:rFonts w:ascii="標楷體" w:eastAsia="標楷體" w:hAnsi="標楷體"/>
          <w:sz w:val="22"/>
        </w:rPr>
        <w:t>月2</w:t>
      </w:r>
      <w:r>
        <w:rPr>
          <w:rFonts w:ascii="標楷體" w:eastAsia="標楷體" w:hAnsi="標楷體" w:hint="eastAsia"/>
          <w:sz w:val="22"/>
        </w:rPr>
        <w:t>4</w:t>
      </w:r>
      <w:r w:rsidRPr="00693A7C">
        <w:rPr>
          <w:rFonts w:ascii="標楷體" w:eastAsia="標楷體" w:hAnsi="標楷體"/>
          <w:sz w:val="22"/>
        </w:rPr>
        <w:t>日本校1</w:t>
      </w:r>
      <w:r>
        <w:rPr>
          <w:rFonts w:ascii="標楷體" w:eastAsia="標楷體" w:hAnsi="標楷體" w:hint="eastAsia"/>
          <w:sz w:val="22"/>
        </w:rPr>
        <w:t>11</w:t>
      </w:r>
      <w:r w:rsidRPr="00693A7C">
        <w:rPr>
          <w:rFonts w:ascii="標楷體" w:eastAsia="標楷體" w:hAnsi="標楷體"/>
          <w:sz w:val="22"/>
        </w:rPr>
        <w:t>學年度第1次校教師評審委員會修正通過第</w:t>
      </w:r>
      <w:r>
        <w:rPr>
          <w:rFonts w:ascii="標楷體" w:eastAsia="標楷體" w:hAnsi="標楷體" w:hint="eastAsia"/>
          <w:sz w:val="22"/>
        </w:rPr>
        <w:t>二</w:t>
      </w:r>
      <w:r w:rsidRPr="00693A7C">
        <w:rPr>
          <w:rFonts w:ascii="標楷體" w:eastAsia="標楷體" w:hAnsi="標楷體"/>
          <w:sz w:val="22"/>
        </w:rPr>
        <w:t>點</w:t>
      </w:r>
      <w:r>
        <w:rPr>
          <w:rFonts w:ascii="標楷體" w:eastAsia="標楷體" w:hAnsi="標楷體" w:hint="eastAsia"/>
          <w:sz w:val="22"/>
        </w:rPr>
        <w:t>、</w:t>
      </w:r>
      <w:bookmarkStart w:id="0" w:name="_GoBack"/>
      <w:bookmarkEnd w:id="0"/>
      <w:r w:rsidRPr="00693A7C">
        <w:rPr>
          <w:rFonts w:ascii="標楷體" w:eastAsia="標楷體" w:hAnsi="標楷體"/>
          <w:sz w:val="22"/>
        </w:rPr>
        <w:t>第四點</w:t>
      </w:r>
    </w:p>
    <w:p w:rsidR="00332EA3" w:rsidRPr="00693A7C" w:rsidRDefault="000D0063" w:rsidP="002334FF">
      <w:pPr>
        <w:overflowPunct w:val="0"/>
        <w:autoSpaceDE w:val="0"/>
        <w:autoSpaceDN w:val="0"/>
        <w:spacing w:beforeLines="50" w:before="180" w:line="400" w:lineRule="exact"/>
        <w:ind w:left="560" w:hangingChars="200" w:hanging="560"/>
        <w:jc w:val="both"/>
        <w:rPr>
          <w:rFonts w:ascii="標楷體" w:eastAsia="標楷體" w:hAnsi="標楷體"/>
          <w:sz w:val="28"/>
          <w:szCs w:val="28"/>
        </w:rPr>
      </w:pPr>
      <w:r w:rsidRPr="00693A7C">
        <w:rPr>
          <w:rFonts w:ascii="標楷體" w:eastAsia="標楷體" w:hAnsi="標楷體" w:hint="eastAsia"/>
          <w:sz w:val="28"/>
          <w:szCs w:val="28"/>
        </w:rPr>
        <w:t>一、</w:t>
      </w:r>
      <w:r w:rsidR="005B6D46" w:rsidRPr="00693A7C">
        <w:rPr>
          <w:rFonts w:ascii="標楷體" w:eastAsia="標楷體" w:hAnsi="標楷體" w:hint="eastAsia"/>
          <w:sz w:val="28"/>
          <w:szCs w:val="28"/>
        </w:rPr>
        <w:t>國立彰化師範大學（以下簡稱本校）為規範教師資格審查之外審作業，訂定本注意事項。</w:t>
      </w:r>
    </w:p>
    <w:p w:rsidR="00B10D3B" w:rsidRPr="00693A7C" w:rsidRDefault="00B10D3B" w:rsidP="003A5D63">
      <w:pPr>
        <w:overflowPunct w:val="0"/>
        <w:autoSpaceDE w:val="0"/>
        <w:autoSpaceDN w:val="0"/>
        <w:spacing w:beforeLines="50" w:before="180" w:line="400" w:lineRule="exact"/>
        <w:ind w:left="560" w:hangingChars="200" w:hanging="560"/>
        <w:jc w:val="both"/>
        <w:rPr>
          <w:rFonts w:ascii="標楷體" w:eastAsia="標楷體" w:hAnsi="標楷體"/>
          <w:sz w:val="28"/>
          <w:szCs w:val="28"/>
        </w:rPr>
      </w:pPr>
      <w:r w:rsidRPr="00693A7C">
        <w:rPr>
          <w:rFonts w:ascii="標楷體" w:eastAsia="標楷體" w:hAnsi="標楷體" w:hint="eastAsia"/>
          <w:sz w:val="28"/>
          <w:szCs w:val="28"/>
        </w:rPr>
        <w:t>二、</w:t>
      </w:r>
      <w:r w:rsidR="000F0BD7" w:rsidRPr="00693A7C">
        <w:rPr>
          <w:rFonts w:ascii="標楷體" w:eastAsia="標楷體" w:hAnsi="標楷體" w:hint="eastAsia"/>
          <w:sz w:val="28"/>
          <w:szCs w:val="28"/>
        </w:rPr>
        <w:t>本校辦理</w:t>
      </w:r>
      <w:r w:rsidRPr="00693A7C">
        <w:rPr>
          <w:rFonts w:ascii="標楷體" w:eastAsia="標楷體" w:hAnsi="標楷體" w:hint="eastAsia"/>
          <w:sz w:val="28"/>
          <w:szCs w:val="28"/>
        </w:rPr>
        <w:t>教師資格審查應送請校外學者、專家審查，</w:t>
      </w:r>
      <w:r w:rsidR="00D41586" w:rsidRPr="00A1075A">
        <w:rPr>
          <w:rFonts w:ascii="標楷體" w:eastAsia="標楷體" w:hAnsi="標楷體" w:hint="eastAsia"/>
          <w:color w:val="000000" w:themeColor="text1"/>
          <w:sz w:val="28"/>
          <w:szCs w:val="28"/>
        </w:rPr>
        <w:t>送審人數</w:t>
      </w:r>
      <w:r w:rsidR="00D41586" w:rsidRPr="000C6338">
        <w:rPr>
          <w:rFonts w:ascii="標楷體" w:eastAsia="標楷體" w:hAnsi="標楷體" w:hint="eastAsia"/>
          <w:color w:val="FF0000"/>
          <w:sz w:val="28"/>
          <w:szCs w:val="28"/>
          <w:u w:val="single"/>
        </w:rPr>
        <w:t>至少六</w:t>
      </w:r>
      <w:r w:rsidR="00D41586" w:rsidRPr="00A1075A">
        <w:rPr>
          <w:rFonts w:ascii="標楷體" w:eastAsia="標楷體" w:hAnsi="標楷體" w:hint="eastAsia"/>
          <w:color w:val="000000" w:themeColor="text1"/>
          <w:sz w:val="28"/>
          <w:szCs w:val="28"/>
        </w:rPr>
        <w:t>人</w:t>
      </w:r>
      <w:r w:rsidR="00D41586" w:rsidRPr="00497347">
        <w:rPr>
          <w:rFonts w:ascii="標楷體" w:eastAsia="標楷體" w:hAnsi="標楷體" w:hint="eastAsia"/>
          <w:color w:val="FF0000"/>
          <w:sz w:val="28"/>
          <w:szCs w:val="28"/>
        </w:rPr>
        <w:t>；</w:t>
      </w:r>
      <w:r w:rsidR="00D41586" w:rsidRPr="000C6338">
        <w:rPr>
          <w:rFonts w:ascii="標楷體" w:eastAsia="標楷體" w:hAnsi="標楷體" w:hint="eastAsia"/>
          <w:color w:val="FF0000"/>
          <w:sz w:val="28"/>
          <w:szCs w:val="28"/>
          <w:u w:val="single"/>
        </w:rPr>
        <w:t>審查人三分之二以上審查及格者為合格。</w:t>
      </w:r>
    </w:p>
    <w:p w:rsidR="007D3EFF" w:rsidRPr="00693A7C" w:rsidRDefault="00332EA3" w:rsidP="002334FF">
      <w:pPr>
        <w:overflowPunct w:val="0"/>
        <w:autoSpaceDE w:val="0"/>
        <w:autoSpaceDN w:val="0"/>
        <w:spacing w:beforeLines="50" w:before="180" w:line="400" w:lineRule="exact"/>
        <w:ind w:left="560" w:hangingChars="200" w:hanging="560"/>
        <w:jc w:val="both"/>
        <w:rPr>
          <w:rFonts w:ascii="標楷體" w:eastAsia="標楷體" w:hAnsi="標楷體"/>
          <w:sz w:val="28"/>
          <w:szCs w:val="28"/>
        </w:rPr>
      </w:pPr>
      <w:r w:rsidRPr="00693A7C">
        <w:rPr>
          <w:rFonts w:ascii="標楷體" w:eastAsia="標楷體" w:hAnsi="標楷體" w:hint="eastAsia"/>
          <w:sz w:val="28"/>
          <w:szCs w:val="28"/>
        </w:rPr>
        <w:t>三</w:t>
      </w:r>
      <w:r w:rsidR="007D3EFF" w:rsidRPr="00693A7C">
        <w:rPr>
          <w:rFonts w:ascii="標楷體" w:eastAsia="標楷體" w:hAnsi="標楷體" w:hint="eastAsia"/>
          <w:sz w:val="28"/>
          <w:szCs w:val="28"/>
        </w:rPr>
        <w:t>、外審委員之遴選應配合送審人之學術專長，如送審人送審著作跨不同學術專長領域，以代表著作之專長領域為主要考量依據。</w:t>
      </w:r>
    </w:p>
    <w:p w:rsidR="00332EA3" w:rsidRPr="00693A7C" w:rsidRDefault="007D3EFF" w:rsidP="002334FF">
      <w:pPr>
        <w:overflowPunct w:val="0"/>
        <w:autoSpaceDE w:val="0"/>
        <w:autoSpaceDN w:val="0"/>
        <w:spacing w:beforeLines="50" w:before="180" w:line="400" w:lineRule="exact"/>
        <w:ind w:leftChars="230" w:left="552"/>
        <w:jc w:val="both"/>
        <w:rPr>
          <w:rFonts w:ascii="標楷體" w:eastAsia="標楷體" w:hAnsi="標楷體"/>
          <w:sz w:val="28"/>
          <w:szCs w:val="28"/>
        </w:rPr>
      </w:pPr>
      <w:r w:rsidRPr="00693A7C">
        <w:rPr>
          <w:rFonts w:ascii="標楷體" w:eastAsia="標楷體" w:hAnsi="標楷體" w:hint="eastAsia"/>
          <w:sz w:val="28"/>
          <w:szCs w:val="28"/>
        </w:rPr>
        <w:t>外審委員應以具有教育部審定之教授或相當教授</w:t>
      </w:r>
      <w:r w:rsidRPr="00693A7C">
        <w:rPr>
          <w:rFonts w:ascii="標楷體" w:eastAsia="標楷體" w:hAnsi="標楷體"/>
          <w:sz w:val="28"/>
          <w:szCs w:val="28"/>
        </w:rPr>
        <w:t>(</w:t>
      </w:r>
      <w:r w:rsidRPr="00693A7C">
        <w:rPr>
          <w:rFonts w:ascii="標楷體" w:eastAsia="標楷體" w:hAnsi="標楷體" w:hint="eastAsia"/>
          <w:sz w:val="28"/>
          <w:szCs w:val="28"/>
        </w:rPr>
        <w:t>研究員</w:t>
      </w:r>
      <w:r w:rsidRPr="00693A7C">
        <w:rPr>
          <w:rFonts w:ascii="標楷體" w:eastAsia="標楷體" w:hAnsi="標楷體"/>
          <w:sz w:val="28"/>
          <w:szCs w:val="28"/>
        </w:rPr>
        <w:t>)</w:t>
      </w:r>
      <w:r w:rsidRPr="00693A7C">
        <w:rPr>
          <w:rFonts w:ascii="標楷體" w:eastAsia="標楷體" w:hAnsi="標楷體" w:hint="eastAsia"/>
          <w:sz w:val="28"/>
          <w:szCs w:val="28"/>
        </w:rPr>
        <w:t>資格者擔任之。若無適當之教授人選時，對於送審副教授以下資格案，得以具有教育部審定之副教授(副研究員</w:t>
      </w:r>
      <w:r w:rsidRPr="00693A7C">
        <w:rPr>
          <w:rFonts w:ascii="標楷體" w:eastAsia="標楷體" w:hAnsi="標楷體"/>
          <w:sz w:val="28"/>
          <w:szCs w:val="28"/>
        </w:rPr>
        <w:t>)</w:t>
      </w:r>
      <w:r w:rsidRPr="00693A7C">
        <w:rPr>
          <w:rFonts w:ascii="標楷體" w:eastAsia="標楷體" w:hAnsi="標楷體" w:hint="eastAsia"/>
          <w:sz w:val="28"/>
          <w:szCs w:val="28"/>
        </w:rPr>
        <w:t>資格者擔任之，但不得審查升等（或聘任）教授案。</w:t>
      </w:r>
    </w:p>
    <w:p w:rsidR="007E1CC8" w:rsidRPr="00693A7C" w:rsidRDefault="00481FAB" w:rsidP="007E1CC8">
      <w:pPr>
        <w:overflowPunct w:val="0"/>
        <w:autoSpaceDE w:val="0"/>
        <w:autoSpaceDN w:val="0"/>
        <w:spacing w:line="440" w:lineRule="exact"/>
        <w:ind w:left="580" w:hangingChars="207" w:hanging="580"/>
        <w:jc w:val="both"/>
        <w:rPr>
          <w:rFonts w:ascii="標楷體" w:eastAsia="標楷體" w:hAnsi="標楷體"/>
          <w:sz w:val="28"/>
          <w:szCs w:val="28"/>
        </w:rPr>
      </w:pPr>
      <w:r w:rsidRPr="00693A7C">
        <w:rPr>
          <w:rFonts w:ascii="標楷體" w:eastAsia="標楷體" w:hAnsi="標楷體" w:hint="eastAsia"/>
          <w:sz w:val="28"/>
          <w:szCs w:val="28"/>
        </w:rPr>
        <w:t>四、</w:t>
      </w:r>
      <w:r w:rsidR="007E1CC8" w:rsidRPr="00693A7C">
        <w:rPr>
          <w:rFonts w:ascii="標楷體" w:eastAsia="標楷體" w:hAnsi="標楷體" w:hint="eastAsia"/>
          <w:sz w:val="28"/>
          <w:szCs w:val="28"/>
        </w:rPr>
        <w:t>外審委員組成應兼顧專業、公正及保密原則。</w:t>
      </w:r>
    </w:p>
    <w:p w:rsidR="007E1CC8" w:rsidRPr="00693A7C" w:rsidRDefault="007E1CC8" w:rsidP="007E1CC8">
      <w:pPr>
        <w:pStyle w:val="Default"/>
        <w:spacing w:beforeLines="50" w:before="180" w:line="440" w:lineRule="exact"/>
        <w:ind w:leftChars="236" w:left="566" w:firstLineChars="6" w:firstLine="17"/>
        <w:jc w:val="both"/>
        <w:rPr>
          <w:rFonts w:ascii="標楷體" w:eastAsia="標楷體" w:hAnsi="標楷體"/>
          <w:color w:val="auto"/>
          <w:sz w:val="28"/>
          <w:szCs w:val="28"/>
        </w:rPr>
      </w:pPr>
      <w:r w:rsidRPr="00693A7C">
        <w:rPr>
          <w:rFonts w:ascii="標楷體" w:eastAsia="標楷體" w:hAnsi="標楷體" w:hint="eastAsia"/>
          <w:color w:val="auto"/>
          <w:sz w:val="28"/>
          <w:szCs w:val="28"/>
        </w:rPr>
        <w:t>院教評會之外審委員名單，由院教評會各委員在開會前事先推薦</w:t>
      </w:r>
      <w:r w:rsidR="00C90A10" w:rsidRPr="00693A7C">
        <w:rPr>
          <w:rFonts w:ascii="標楷體" w:eastAsia="標楷體" w:hAnsi="標楷體" w:hint="eastAsia"/>
          <w:color w:val="auto"/>
          <w:sz w:val="28"/>
          <w:szCs w:val="28"/>
        </w:rPr>
        <w:t>人選，並彙整</w:t>
      </w:r>
      <w:r w:rsidR="005D1854" w:rsidRPr="00693A7C">
        <w:rPr>
          <w:rFonts w:ascii="標楷體" w:eastAsia="標楷體" w:hAnsi="標楷體" w:hint="eastAsia"/>
          <w:color w:val="auto"/>
          <w:sz w:val="28"/>
          <w:szCs w:val="28"/>
        </w:rPr>
        <w:t>至少</w:t>
      </w:r>
      <w:r w:rsidR="005D1854" w:rsidRPr="00693A7C">
        <w:rPr>
          <w:rFonts w:ascii="標楷體" w:eastAsia="標楷體" w:hAnsi="標楷體" w:hint="eastAsia"/>
          <w:color w:val="FF0000"/>
          <w:sz w:val="28"/>
          <w:szCs w:val="28"/>
          <w:u w:val="single"/>
        </w:rPr>
        <w:t>十</w:t>
      </w:r>
      <w:r w:rsidR="00693A7C" w:rsidRPr="00693A7C">
        <w:rPr>
          <w:rFonts w:ascii="標楷體" w:eastAsia="標楷體" w:hAnsi="標楷體" w:hint="eastAsia"/>
          <w:color w:val="FF0000"/>
          <w:sz w:val="28"/>
          <w:szCs w:val="28"/>
          <w:u w:val="single"/>
        </w:rPr>
        <w:t>五</w:t>
      </w:r>
      <w:r w:rsidRPr="00693A7C">
        <w:rPr>
          <w:rFonts w:ascii="標楷體" w:eastAsia="標楷體" w:hAnsi="標楷體" w:hint="eastAsia"/>
          <w:color w:val="auto"/>
          <w:sz w:val="28"/>
          <w:szCs w:val="28"/>
        </w:rPr>
        <w:t>人，經院教評會審議後，提出至少</w:t>
      </w:r>
      <w:r w:rsidR="00693A7C" w:rsidRPr="00693A7C">
        <w:rPr>
          <w:rFonts w:ascii="標楷體" w:eastAsia="標楷體" w:hAnsi="標楷體" w:hint="eastAsia"/>
          <w:color w:val="FF0000"/>
          <w:sz w:val="28"/>
          <w:szCs w:val="28"/>
          <w:u w:val="single"/>
        </w:rPr>
        <w:t>十二</w:t>
      </w:r>
      <w:r w:rsidRPr="00693A7C">
        <w:rPr>
          <w:rFonts w:ascii="標楷體" w:eastAsia="標楷體" w:hAnsi="標楷體" w:hint="eastAsia"/>
          <w:color w:val="auto"/>
          <w:sz w:val="28"/>
          <w:szCs w:val="28"/>
        </w:rPr>
        <w:t>人外審委員建議名單。</w:t>
      </w:r>
    </w:p>
    <w:p w:rsidR="007E1CC8" w:rsidRPr="00693A7C" w:rsidRDefault="007E1CC8" w:rsidP="007E1CC8">
      <w:pPr>
        <w:pStyle w:val="Default"/>
        <w:spacing w:beforeLines="50" w:before="180" w:line="440" w:lineRule="exact"/>
        <w:ind w:leftChars="236" w:left="566" w:firstLineChars="6" w:firstLine="17"/>
        <w:jc w:val="both"/>
        <w:rPr>
          <w:rFonts w:ascii="標楷體" w:eastAsia="標楷體" w:hAnsi="標楷體"/>
          <w:color w:val="auto"/>
          <w:sz w:val="28"/>
          <w:szCs w:val="28"/>
        </w:rPr>
      </w:pPr>
      <w:r w:rsidRPr="00693A7C">
        <w:rPr>
          <w:rFonts w:ascii="標楷體" w:eastAsia="標楷體" w:hAnsi="標楷體" w:hint="eastAsia"/>
          <w:color w:val="auto"/>
          <w:sz w:val="28"/>
          <w:szCs w:val="28"/>
        </w:rPr>
        <w:t>院辦應將外審委員建議名單編號密封，會同人事室，公開由當事人或代理人抽籤決定外審順序，並依據抽籤順序</w:t>
      </w:r>
      <w:proofErr w:type="gramStart"/>
      <w:r w:rsidRPr="00693A7C">
        <w:rPr>
          <w:rFonts w:ascii="標楷體" w:eastAsia="標楷體" w:hAnsi="標楷體" w:hint="eastAsia"/>
          <w:color w:val="auto"/>
          <w:sz w:val="28"/>
          <w:szCs w:val="28"/>
        </w:rPr>
        <w:t>逕</w:t>
      </w:r>
      <w:proofErr w:type="gramEnd"/>
      <w:r w:rsidRPr="00693A7C">
        <w:rPr>
          <w:rFonts w:ascii="標楷體" w:eastAsia="標楷體" w:hAnsi="標楷體" w:hint="eastAsia"/>
          <w:color w:val="auto"/>
          <w:sz w:val="28"/>
          <w:szCs w:val="28"/>
        </w:rPr>
        <w:t>送外審，並保存與外審委員通訊資料。</w:t>
      </w:r>
    </w:p>
    <w:p w:rsidR="005D7019" w:rsidRPr="00693A7C" w:rsidRDefault="007E1CC8" w:rsidP="007E1CC8">
      <w:pPr>
        <w:overflowPunct w:val="0"/>
        <w:autoSpaceDE w:val="0"/>
        <w:autoSpaceDN w:val="0"/>
        <w:spacing w:beforeLines="50" w:before="180" w:line="440" w:lineRule="exact"/>
        <w:ind w:leftChars="236" w:left="566"/>
        <w:jc w:val="both"/>
        <w:rPr>
          <w:rFonts w:ascii="標楷體" w:eastAsia="標楷體" w:hAnsi="標楷體"/>
          <w:sz w:val="28"/>
          <w:szCs w:val="28"/>
        </w:rPr>
      </w:pPr>
      <w:r w:rsidRPr="00693A7C">
        <w:rPr>
          <w:rFonts w:ascii="標楷體" w:eastAsia="標楷體" w:hAnsi="標楷體" w:hint="eastAsia"/>
          <w:sz w:val="28"/>
          <w:szCs w:val="28"/>
        </w:rPr>
        <w:t>本校設有教師或研究人員之行政單位暨研究推廣單位聯合教評會外審委員建議名單</w:t>
      </w:r>
      <w:proofErr w:type="gramStart"/>
      <w:r w:rsidRPr="00693A7C">
        <w:rPr>
          <w:rFonts w:ascii="標楷體" w:eastAsia="標楷體" w:hAnsi="標楷體" w:hint="eastAsia"/>
          <w:sz w:val="28"/>
          <w:szCs w:val="28"/>
        </w:rPr>
        <w:t>準</w:t>
      </w:r>
      <w:proofErr w:type="gramEnd"/>
      <w:r w:rsidRPr="00693A7C">
        <w:rPr>
          <w:rFonts w:ascii="標楷體" w:eastAsia="標楷體" w:hAnsi="標楷體" w:hint="eastAsia"/>
          <w:sz w:val="28"/>
          <w:szCs w:val="28"/>
        </w:rPr>
        <w:t>用之。</w:t>
      </w:r>
    </w:p>
    <w:p w:rsidR="00A71B1C" w:rsidRPr="00693A7C" w:rsidRDefault="002334FF" w:rsidP="002334FF">
      <w:pPr>
        <w:overflowPunct w:val="0"/>
        <w:autoSpaceDE w:val="0"/>
        <w:autoSpaceDN w:val="0"/>
        <w:spacing w:beforeLines="50" w:before="180" w:line="400" w:lineRule="exact"/>
        <w:jc w:val="both"/>
        <w:rPr>
          <w:rFonts w:ascii="標楷體" w:eastAsia="標楷體" w:hAnsi="標楷體"/>
          <w:color w:val="000000" w:themeColor="text1"/>
          <w:sz w:val="28"/>
          <w:szCs w:val="28"/>
        </w:rPr>
      </w:pPr>
      <w:r w:rsidRPr="00693A7C">
        <w:rPr>
          <w:rFonts w:ascii="標楷體" w:eastAsia="標楷體" w:hAnsi="標楷體" w:hint="eastAsia"/>
          <w:color w:val="000000" w:themeColor="text1"/>
          <w:sz w:val="28"/>
          <w:szCs w:val="28"/>
        </w:rPr>
        <w:t>五、</w:t>
      </w:r>
      <w:r w:rsidR="00A71B1C" w:rsidRPr="00693A7C">
        <w:rPr>
          <w:rFonts w:ascii="標楷體" w:eastAsia="標楷體" w:hAnsi="標楷體" w:hint="eastAsia"/>
          <w:color w:val="000000" w:themeColor="text1"/>
          <w:sz w:val="28"/>
          <w:szCs w:val="28"/>
        </w:rPr>
        <w:t>外審委員具有下列情形之</w:t>
      </w:r>
      <w:proofErr w:type="gramStart"/>
      <w:r w:rsidR="00A71B1C" w:rsidRPr="00693A7C">
        <w:rPr>
          <w:rFonts w:ascii="標楷體" w:eastAsia="標楷體" w:hAnsi="標楷體" w:hint="eastAsia"/>
          <w:color w:val="000000" w:themeColor="text1"/>
          <w:sz w:val="28"/>
          <w:szCs w:val="28"/>
        </w:rPr>
        <w:t>一</w:t>
      </w:r>
      <w:proofErr w:type="gramEnd"/>
      <w:r w:rsidR="00A71B1C" w:rsidRPr="00693A7C">
        <w:rPr>
          <w:rFonts w:ascii="標楷體" w:eastAsia="標楷體" w:hAnsi="標楷體" w:hint="eastAsia"/>
          <w:color w:val="000000" w:themeColor="text1"/>
          <w:sz w:val="28"/>
          <w:szCs w:val="28"/>
        </w:rPr>
        <w:t>者，應迴避審查：</w:t>
      </w:r>
    </w:p>
    <w:p w:rsidR="00A71B1C" w:rsidRPr="00693A7C" w:rsidRDefault="002334FF" w:rsidP="002334FF">
      <w:pPr>
        <w:overflowPunct w:val="0"/>
        <w:autoSpaceDE w:val="0"/>
        <w:autoSpaceDN w:val="0"/>
        <w:spacing w:line="400" w:lineRule="exact"/>
        <w:ind w:leftChars="200" w:left="1040" w:hangingChars="200" w:hanging="560"/>
        <w:jc w:val="both"/>
        <w:rPr>
          <w:rFonts w:ascii="標楷體" w:eastAsia="標楷體" w:hAnsi="標楷體"/>
          <w:color w:val="000000" w:themeColor="text1"/>
          <w:sz w:val="28"/>
          <w:szCs w:val="28"/>
        </w:rPr>
      </w:pPr>
      <w:r w:rsidRPr="00693A7C">
        <w:rPr>
          <w:rFonts w:ascii="標楷體" w:eastAsia="標楷體" w:hAnsi="標楷體" w:hint="eastAsia"/>
          <w:color w:val="000000" w:themeColor="text1"/>
          <w:sz w:val="28"/>
          <w:szCs w:val="28"/>
        </w:rPr>
        <w:t>(</w:t>
      </w:r>
      <w:proofErr w:type="gramStart"/>
      <w:r w:rsidRPr="00693A7C">
        <w:rPr>
          <w:rFonts w:ascii="標楷體" w:eastAsia="標楷體" w:hAnsi="標楷體" w:hint="eastAsia"/>
          <w:color w:val="000000" w:themeColor="text1"/>
          <w:sz w:val="28"/>
          <w:szCs w:val="28"/>
        </w:rPr>
        <w:t>一</w:t>
      </w:r>
      <w:proofErr w:type="gramEnd"/>
      <w:r w:rsidRPr="00693A7C">
        <w:rPr>
          <w:rFonts w:ascii="標楷體" w:eastAsia="標楷體" w:hAnsi="標楷體" w:hint="eastAsia"/>
          <w:color w:val="000000" w:themeColor="text1"/>
          <w:sz w:val="28"/>
          <w:szCs w:val="28"/>
        </w:rPr>
        <w:t>)</w:t>
      </w:r>
      <w:r w:rsidR="00A71B1C" w:rsidRPr="00693A7C">
        <w:rPr>
          <w:rFonts w:ascii="標楷體" w:eastAsia="標楷體" w:hAnsi="標楷體" w:hint="eastAsia"/>
          <w:color w:val="000000" w:themeColor="text1"/>
          <w:sz w:val="28"/>
          <w:szCs w:val="28"/>
        </w:rPr>
        <w:t>送審人之研究指導教授。</w:t>
      </w:r>
    </w:p>
    <w:p w:rsidR="00A71B1C" w:rsidRPr="00693A7C" w:rsidRDefault="002334FF" w:rsidP="002334FF">
      <w:pPr>
        <w:overflowPunct w:val="0"/>
        <w:autoSpaceDE w:val="0"/>
        <w:autoSpaceDN w:val="0"/>
        <w:spacing w:line="400" w:lineRule="exact"/>
        <w:ind w:leftChars="200" w:left="1040" w:hangingChars="200" w:hanging="560"/>
        <w:jc w:val="both"/>
        <w:rPr>
          <w:rFonts w:ascii="標楷體" w:eastAsia="標楷體" w:hAnsi="標楷體"/>
          <w:color w:val="000000" w:themeColor="text1"/>
          <w:sz w:val="28"/>
          <w:szCs w:val="28"/>
        </w:rPr>
      </w:pPr>
      <w:r w:rsidRPr="00693A7C">
        <w:rPr>
          <w:rFonts w:ascii="標楷體" w:eastAsia="標楷體" w:hAnsi="標楷體" w:hint="eastAsia"/>
          <w:color w:val="000000" w:themeColor="text1"/>
          <w:sz w:val="28"/>
          <w:szCs w:val="28"/>
        </w:rPr>
        <w:t>(二)</w:t>
      </w:r>
      <w:r w:rsidR="00A71B1C" w:rsidRPr="00693A7C">
        <w:rPr>
          <w:rFonts w:ascii="標楷體" w:eastAsia="標楷體" w:hAnsi="標楷體" w:hint="eastAsia"/>
          <w:color w:val="000000" w:themeColor="text1"/>
          <w:sz w:val="28"/>
          <w:szCs w:val="28"/>
        </w:rPr>
        <w:t>送審人代表著作之合著人或共同研究人。</w:t>
      </w:r>
    </w:p>
    <w:p w:rsidR="00A71B1C" w:rsidRPr="00693A7C" w:rsidRDefault="002334FF" w:rsidP="002334FF">
      <w:pPr>
        <w:overflowPunct w:val="0"/>
        <w:autoSpaceDE w:val="0"/>
        <w:autoSpaceDN w:val="0"/>
        <w:spacing w:line="400" w:lineRule="exact"/>
        <w:ind w:leftChars="200" w:left="1040" w:hangingChars="200" w:hanging="560"/>
        <w:jc w:val="both"/>
        <w:rPr>
          <w:rFonts w:ascii="標楷體" w:eastAsia="標楷體" w:hAnsi="標楷體"/>
          <w:color w:val="000000" w:themeColor="text1"/>
          <w:sz w:val="28"/>
          <w:szCs w:val="28"/>
        </w:rPr>
      </w:pPr>
      <w:r w:rsidRPr="00693A7C">
        <w:rPr>
          <w:rFonts w:ascii="標楷體" w:eastAsia="標楷體" w:hAnsi="標楷體" w:hint="eastAsia"/>
          <w:color w:val="000000" w:themeColor="text1"/>
          <w:sz w:val="28"/>
          <w:szCs w:val="28"/>
        </w:rPr>
        <w:t>(三)</w:t>
      </w:r>
      <w:r w:rsidR="00A71B1C" w:rsidRPr="00693A7C">
        <w:rPr>
          <w:rFonts w:ascii="標楷體" w:eastAsia="標楷體" w:hAnsi="標楷體" w:hint="eastAsia"/>
          <w:color w:val="000000" w:themeColor="text1"/>
          <w:sz w:val="28"/>
          <w:szCs w:val="28"/>
        </w:rPr>
        <w:t>現與送審人同校或曾與送審人同一系所服務者。</w:t>
      </w:r>
    </w:p>
    <w:p w:rsidR="00A71B1C" w:rsidRPr="00693A7C" w:rsidRDefault="002334FF" w:rsidP="002334FF">
      <w:pPr>
        <w:overflowPunct w:val="0"/>
        <w:autoSpaceDE w:val="0"/>
        <w:autoSpaceDN w:val="0"/>
        <w:spacing w:line="400" w:lineRule="exact"/>
        <w:ind w:leftChars="200" w:left="1040" w:hangingChars="200" w:hanging="560"/>
        <w:jc w:val="both"/>
        <w:rPr>
          <w:rFonts w:ascii="標楷體" w:eastAsia="標楷體" w:hAnsi="標楷體"/>
          <w:color w:val="000000" w:themeColor="text1"/>
          <w:sz w:val="28"/>
          <w:szCs w:val="28"/>
        </w:rPr>
      </w:pPr>
      <w:r w:rsidRPr="00693A7C">
        <w:rPr>
          <w:rFonts w:ascii="標楷體" w:eastAsia="標楷體" w:hAnsi="標楷體" w:hint="eastAsia"/>
          <w:color w:val="000000" w:themeColor="text1"/>
          <w:sz w:val="28"/>
          <w:szCs w:val="28"/>
        </w:rPr>
        <w:t>(四)</w:t>
      </w:r>
      <w:r w:rsidR="00A71B1C" w:rsidRPr="00693A7C">
        <w:rPr>
          <w:rFonts w:ascii="標楷體" w:eastAsia="標楷體" w:hAnsi="標楷體" w:hint="eastAsia"/>
          <w:color w:val="000000" w:themeColor="text1"/>
          <w:sz w:val="28"/>
          <w:szCs w:val="28"/>
        </w:rPr>
        <w:t>與升等申請人有親屬關係者或行政程序法第三十二條有關規定者。</w:t>
      </w:r>
    </w:p>
    <w:p w:rsidR="00A71B1C" w:rsidRPr="00693A7C" w:rsidRDefault="00A71B1C" w:rsidP="002334FF">
      <w:pPr>
        <w:overflowPunct w:val="0"/>
        <w:autoSpaceDE w:val="0"/>
        <w:autoSpaceDN w:val="0"/>
        <w:spacing w:beforeLines="50" w:before="180" w:line="400" w:lineRule="exact"/>
        <w:ind w:leftChars="230" w:left="552"/>
        <w:jc w:val="both"/>
        <w:rPr>
          <w:rFonts w:ascii="標楷體" w:eastAsia="標楷體" w:hAnsi="標楷體"/>
          <w:color w:val="000000" w:themeColor="text1"/>
          <w:sz w:val="28"/>
          <w:szCs w:val="28"/>
        </w:rPr>
      </w:pPr>
      <w:r w:rsidRPr="00693A7C">
        <w:rPr>
          <w:rFonts w:ascii="標楷體" w:eastAsia="標楷體" w:hAnsi="標楷體" w:hint="eastAsia"/>
          <w:color w:val="000000" w:themeColor="text1"/>
          <w:sz w:val="28"/>
          <w:szCs w:val="28"/>
        </w:rPr>
        <w:t>凡違反前項規定，未迴避審查者，其評審結果無效。然其餘有效之評審，仍得計入審查結果。有效外審人數不足時，應就不足之人數另行送審補正。</w:t>
      </w:r>
    </w:p>
    <w:p w:rsidR="00A71B1C" w:rsidRPr="00693A7C" w:rsidRDefault="005B6D46" w:rsidP="002334FF">
      <w:pPr>
        <w:overflowPunct w:val="0"/>
        <w:autoSpaceDE w:val="0"/>
        <w:autoSpaceDN w:val="0"/>
        <w:spacing w:beforeLines="50" w:before="180" w:line="400" w:lineRule="exact"/>
        <w:ind w:left="560" w:hangingChars="200" w:hanging="560"/>
        <w:jc w:val="both"/>
        <w:rPr>
          <w:rFonts w:ascii="標楷體" w:eastAsia="標楷體" w:hAnsi="標楷體"/>
          <w:color w:val="000000" w:themeColor="text1"/>
          <w:sz w:val="28"/>
          <w:szCs w:val="28"/>
        </w:rPr>
      </w:pPr>
      <w:r w:rsidRPr="00693A7C">
        <w:rPr>
          <w:rFonts w:ascii="標楷體" w:eastAsia="標楷體" w:hAnsi="標楷體" w:hint="eastAsia"/>
          <w:color w:val="000000" w:themeColor="text1"/>
          <w:sz w:val="28"/>
          <w:szCs w:val="28"/>
        </w:rPr>
        <w:lastRenderedPageBreak/>
        <w:t>六、</w:t>
      </w:r>
      <w:r w:rsidR="00A71B1C" w:rsidRPr="00693A7C">
        <w:rPr>
          <w:rFonts w:ascii="標楷體" w:eastAsia="標楷體" w:hAnsi="標楷體" w:hint="eastAsia"/>
          <w:color w:val="000000" w:themeColor="text1"/>
          <w:sz w:val="28"/>
          <w:szCs w:val="28"/>
        </w:rPr>
        <w:t>外審委員之保密：</w:t>
      </w:r>
    </w:p>
    <w:p w:rsidR="00A71B1C" w:rsidRPr="00693A7C" w:rsidRDefault="005B6D46" w:rsidP="002334FF">
      <w:pPr>
        <w:overflowPunct w:val="0"/>
        <w:autoSpaceDE w:val="0"/>
        <w:autoSpaceDN w:val="0"/>
        <w:spacing w:line="400" w:lineRule="exact"/>
        <w:ind w:leftChars="200" w:left="1040" w:hangingChars="200" w:hanging="560"/>
        <w:jc w:val="both"/>
        <w:rPr>
          <w:rFonts w:ascii="標楷體" w:eastAsia="標楷體" w:hAnsi="標楷體"/>
          <w:color w:val="000000" w:themeColor="text1"/>
          <w:sz w:val="28"/>
          <w:szCs w:val="28"/>
        </w:rPr>
      </w:pPr>
      <w:r w:rsidRPr="00693A7C">
        <w:rPr>
          <w:rFonts w:ascii="標楷體" w:eastAsia="標楷體" w:hAnsi="標楷體" w:hint="eastAsia"/>
          <w:color w:val="000000" w:themeColor="text1"/>
          <w:sz w:val="28"/>
          <w:szCs w:val="28"/>
        </w:rPr>
        <w:t>(</w:t>
      </w:r>
      <w:proofErr w:type="gramStart"/>
      <w:r w:rsidRPr="00693A7C">
        <w:rPr>
          <w:rFonts w:ascii="標楷體" w:eastAsia="標楷體" w:hAnsi="標楷體" w:hint="eastAsia"/>
          <w:color w:val="000000" w:themeColor="text1"/>
          <w:sz w:val="28"/>
          <w:szCs w:val="28"/>
        </w:rPr>
        <w:t>一</w:t>
      </w:r>
      <w:proofErr w:type="gramEnd"/>
      <w:r w:rsidRPr="00693A7C">
        <w:rPr>
          <w:rFonts w:ascii="標楷體" w:eastAsia="標楷體" w:hAnsi="標楷體" w:hint="eastAsia"/>
          <w:color w:val="000000" w:themeColor="text1"/>
          <w:sz w:val="28"/>
          <w:szCs w:val="28"/>
        </w:rPr>
        <w:t>)</w:t>
      </w:r>
      <w:r w:rsidR="00A71B1C" w:rsidRPr="00693A7C">
        <w:rPr>
          <w:rFonts w:ascii="標楷體" w:eastAsia="標楷體" w:hAnsi="標楷體" w:hint="eastAsia"/>
          <w:color w:val="000000" w:themeColor="text1"/>
          <w:sz w:val="28"/>
          <w:szCs w:val="28"/>
        </w:rPr>
        <w:t>外審委員名單應予保密，</w:t>
      </w:r>
      <w:r w:rsidR="00E03484" w:rsidRPr="00693A7C">
        <w:rPr>
          <w:rFonts w:ascii="標楷體" w:eastAsia="標楷體" w:hAnsi="標楷體" w:hint="eastAsia"/>
          <w:color w:val="000000" w:themeColor="text1"/>
          <w:sz w:val="28"/>
          <w:szCs w:val="28"/>
        </w:rPr>
        <w:t>以密件簽送文書組存檔，</w:t>
      </w:r>
      <w:r w:rsidR="00A71B1C" w:rsidRPr="00693A7C">
        <w:rPr>
          <w:rFonts w:ascii="標楷體" w:eastAsia="標楷體" w:hAnsi="標楷體" w:hint="eastAsia"/>
          <w:color w:val="000000" w:themeColor="text1"/>
          <w:sz w:val="28"/>
          <w:szCs w:val="28"/>
        </w:rPr>
        <w:t>校內人員違反者，依相關規定議處；外審委員本人未予保密者，不得再聘為本</w:t>
      </w:r>
      <w:proofErr w:type="gramStart"/>
      <w:r w:rsidR="00A71B1C" w:rsidRPr="00693A7C">
        <w:rPr>
          <w:rFonts w:ascii="標楷體" w:eastAsia="標楷體" w:hAnsi="標楷體" w:hint="eastAsia"/>
          <w:color w:val="000000" w:themeColor="text1"/>
          <w:sz w:val="28"/>
          <w:szCs w:val="28"/>
        </w:rPr>
        <w:t>校外審</w:t>
      </w:r>
      <w:proofErr w:type="gramEnd"/>
      <w:r w:rsidR="00A71B1C" w:rsidRPr="00693A7C">
        <w:rPr>
          <w:rFonts w:ascii="標楷體" w:eastAsia="標楷體" w:hAnsi="標楷體" w:hint="eastAsia"/>
          <w:color w:val="000000" w:themeColor="text1"/>
          <w:sz w:val="28"/>
          <w:szCs w:val="28"/>
        </w:rPr>
        <w:t>委員。</w:t>
      </w:r>
    </w:p>
    <w:p w:rsidR="0025013D" w:rsidRPr="00693A7C" w:rsidRDefault="005B6D46" w:rsidP="002334FF">
      <w:pPr>
        <w:overflowPunct w:val="0"/>
        <w:autoSpaceDE w:val="0"/>
        <w:autoSpaceDN w:val="0"/>
        <w:spacing w:line="400" w:lineRule="exact"/>
        <w:ind w:leftChars="200" w:left="1040" w:hangingChars="200" w:hanging="560"/>
        <w:jc w:val="both"/>
        <w:rPr>
          <w:rFonts w:ascii="標楷體" w:eastAsia="標楷體" w:hAnsi="標楷體"/>
          <w:color w:val="000000" w:themeColor="text1"/>
          <w:sz w:val="28"/>
          <w:szCs w:val="28"/>
        </w:rPr>
      </w:pPr>
      <w:r w:rsidRPr="00693A7C">
        <w:rPr>
          <w:rFonts w:ascii="標楷體" w:eastAsia="標楷體" w:hAnsi="標楷體" w:hint="eastAsia"/>
          <w:color w:val="000000" w:themeColor="text1"/>
          <w:sz w:val="28"/>
          <w:szCs w:val="28"/>
        </w:rPr>
        <w:t>(二)</w:t>
      </w:r>
      <w:r w:rsidR="0025013D" w:rsidRPr="00693A7C">
        <w:rPr>
          <w:rFonts w:ascii="標楷體" w:eastAsia="標楷體" w:hAnsi="標楷體" w:hint="eastAsia"/>
          <w:color w:val="000000" w:themeColor="text1"/>
          <w:sz w:val="28"/>
          <w:szCs w:val="28"/>
        </w:rPr>
        <w:t>為達保密，外審委員送回之資料，審查意見應加以整理，手寫者重新打字及校對。</w:t>
      </w:r>
    </w:p>
    <w:p w:rsidR="0025013D" w:rsidRPr="00693A7C" w:rsidRDefault="005B6D46" w:rsidP="002334FF">
      <w:pPr>
        <w:overflowPunct w:val="0"/>
        <w:autoSpaceDE w:val="0"/>
        <w:autoSpaceDN w:val="0"/>
        <w:spacing w:beforeLines="50" w:before="180" w:line="400" w:lineRule="exact"/>
        <w:ind w:leftChars="200" w:left="1040" w:hangingChars="200" w:hanging="560"/>
        <w:jc w:val="both"/>
        <w:rPr>
          <w:rFonts w:ascii="標楷體" w:eastAsia="標楷體" w:hAnsi="標楷體"/>
          <w:color w:val="000000" w:themeColor="text1"/>
          <w:sz w:val="28"/>
          <w:szCs w:val="28"/>
        </w:rPr>
      </w:pPr>
      <w:r w:rsidRPr="00693A7C">
        <w:rPr>
          <w:rFonts w:ascii="標楷體" w:eastAsia="標楷體" w:hAnsi="標楷體" w:hint="eastAsia"/>
          <w:color w:val="000000" w:themeColor="text1"/>
          <w:sz w:val="28"/>
          <w:szCs w:val="28"/>
        </w:rPr>
        <w:t>(三)</w:t>
      </w:r>
      <w:r w:rsidR="0025013D" w:rsidRPr="00693A7C">
        <w:rPr>
          <w:rFonts w:ascii="標楷體" w:eastAsia="標楷體" w:hAnsi="標楷體" w:hint="eastAsia"/>
          <w:color w:val="000000" w:themeColor="text1"/>
          <w:sz w:val="28"/>
          <w:szCs w:val="28"/>
        </w:rPr>
        <w:t>外審委員意見提供教評會參考時，應以代號辨別之，以免</w:t>
      </w:r>
      <w:proofErr w:type="gramStart"/>
      <w:r w:rsidR="0025013D" w:rsidRPr="00693A7C">
        <w:rPr>
          <w:rFonts w:ascii="標楷體" w:eastAsia="標楷體" w:hAnsi="標楷體" w:hint="eastAsia"/>
          <w:color w:val="000000" w:themeColor="text1"/>
          <w:sz w:val="28"/>
          <w:szCs w:val="28"/>
        </w:rPr>
        <w:t>外審外委員</w:t>
      </w:r>
      <w:proofErr w:type="gramEnd"/>
      <w:r w:rsidR="0025013D" w:rsidRPr="00693A7C">
        <w:rPr>
          <w:rFonts w:ascii="標楷體" w:eastAsia="標楷體" w:hAnsi="標楷體" w:hint="eastAsia"/>
          <w:color w:val="000000" w:themeColor="text1"/>
          <w:sz w:val="28"/>
          <w:szCs w:val="28"/>
        </w:rPr>
        <w:t>之姓名及所屬資料外洩。</w:t>
      </w:r>
    </w:p>
    <w:p w:rsidR="0025013D" w:rsidRPr="00693A7C" w:rsidRDefault="005B6D46" w:rsidP="002334FF">
      <w:pPr>
        <w:overflowPunct w:val="0"/>
        <w:autoSpaceDE w:val="0"/>
        <w:autoSpaceDN w:val="0"/>
        <w:spacing w:beforeLines="50" w:before="180" w:line="400" w:lineRule="exact"/>
        <w:ind w:left="560" w:hangingChars="200" w:hanging="560"/>
        <w:jc w:val="both"/>
        <w:rPr>
          <w:rFonts w:ascii="標楷體" w:eastAsia="標楷體" w:hAnsi="標楷體"/>
          <w:color w:val="000000" w:themeColor="text1"/>
          <w:sz w:val="28"/>
          <w:szCs w:val="28"/>
        </w:rPr>
      </w:pPr>
      <w:r w:rsidRPr="00693A7C">
        <w:rPr>
          <w:rFonts w:ascii="標楷體" w:eastAsia="標楷體" w:hAnsi="標楷體" w:hint="eastAsia"/>
          <w:color w:val="000000" w:themeColor="text1"/>
          <w:sz w:val="28"/>
          <w:szCs w:val="28"/>
        </w:rPr>
        <w:t>七、</w:t>
      </w:r>
      <w:r w:rsidR="0025013D" w:rsidRPr="00693A7C">
        <w:rPr>
          <w:rFonts w:ascii="標楷體" w:eastAsia="標楷體" w:hAnsi="標楷體" w:hint="eastAsia"/>
          <w:color w:val="000000" w:themeColor="text1"/>
          <w:sz w:val="28"/>
          <w:szCs w:val="28"/>
        </w:rPr>
        <w:t>送審當事人如有違反送審教師資格規定之情事，應依教育部專科以</w:t>
      </w:r>
      <w:r w:rsidR="00D1152E" w:rsidRPr="00693A7C">
        <w:rPr>
          <w:rFonts w:ascii="標楷體" w:eastAsia="標楷體" w:hAnsi="標楷體" w:hint="eastAsia"/>
          <w:color w:val="000000" w:themeColor="text1"/>
          <w:sz w:val="28"/>
          <w:szCs w:val="28"/>
        </w:rPr>
        <w:t>上學校教師違反送審教師資格規定處理原則、專科以上學校教師資格審定</w:t>
      </w:r>
      <w:r w:rsidR="0025013D" w:rsidRPr="00693A7C">
        <w:rPr>
          <w:rFonts w:ascii="標楷體" w:eastAsia="標楷體" w:hAnsi="標楷體" w:hint="eastAsia"/>
          <w:color w:val="000000" w:themeColor="text1"/>
          <w:sz w:val="28"/>
          <w:szCs w:val="28"/>
        </w:rPr>
        <w:t>辦法及本校相關辦法處理。</w:t>
      </w:r>
    </w:p>
    <w:p w:rsidR="007043CB" w:rsidRPr="00693A7C" w:rsidRDefault="002334FF" w:rsidP="002334FF">
      <w:pPr>
        <w:overflowPunct w:val="0"/>
        <w:autoSpaceDE w:val="0"/>
        <w:autoSpaceDN w:val="0"/>
        <w:spacing w:beforeLines="50" w:before="180" w:line="400" w:lineRule="exact"/>
        <w:jc w:val="both"/>
        <w:rPr>
          <w:rFonts w:ascii="標楷體" w:eastAsia="標楷體" w:hAnsi="標楷體"/>
          <w:color w:val="000000" w:themeColor="text1"/>
          <w:sz w:val="28"/>
          <w:szCs w:val="28"/>
        </w:rPr>
      </w:pPr>
      <w:r w:rsidRPr="00693A7C">
        <w:rPr>
          <w:rFonts w:ascii="標楷體" w:eastAsia="標楷體" w:hAnsi="標楷體" w:hint="eastAsia"/>
          <w:color w:val="000000" w:themeColor="text1"/>
          <w:sz w:val="28"/>
          <w:szCs w:val="28"/>
        </w:rPr>
        <w:t>八、</w:t>
      </w:r>
      <w:r w:rsidR="007043CB" w:rsidRPr="00693A7C">
        <w:rPr>
          <w:rFonts w:ascii="標楷體" w:eastAsia="標楷體" w:hAnsi="標楷體" w:hint="eastAsia"/>
          <w:color w:val="000000" w:themeColor="text1"/>
          <w:sz w:val="28"/>
          <w:szCs w:val="28"/>
        </w:rPr>
        <w:t>各</w:t>
      </w:r>
      <w:r w:rsidR="00E03484" w:rsidRPr="00693A7C">
        <w:rPr>
          <w:rFonts w:ascii="標楷體" w:eastAsia="標楷體" w:hAnsi="標楷體" w:hint="eastAsia"/>
          <w:color w:val="000000" w:themeColor="text1"/>
          <w:sz w:val="28"/>
          <w:szCs w:val="28"/>
        </w:rPr>
        <w:t>學院</w:t>
      </w:r>
      <w:r w:rsidR="007043CB" w:rsidRPr="00693A7C">
        <w:rPr>
          <w:rFonts w:ascii="標楷體" w:eastAsia="標楷體" w:hAnsi="標楷體" w:hint="eastAsia"/>
          <w:color w:val="000000" w:themeColor="text1"/>
          <w:sz w:val="28"/>
          <w:szCs w:val="28"/>
        </w:rPr>
        <w:t>如有較本注意事項更嚴格規定者，從其規定。</w:t>
      </w:r>
    </w:p>
    <w:p w:rsidR="007043CB" w:rsidRPr="00693A7C" w:rsidRDefault="00C52EDD" w:rsidP="002334FF">
      <w:pPr>
        <w:overflowPunct w:val="0"/>
        <w:autoSpaceDE w:val="0"/>
        <w:autoSpaceDN w:val="0"/>
        <w:spacing w:beforeLines="50" w:before="180" w:line="400" w:lineRule="exact"/>
        <w:jc w:val="both"/>
        <w:rPr>
          <w:rFonts w:ascii="標楷體" w:eastAsia="標楷體" w:hAnsi="標楷體"/>
          <w:color w:val="000000" w:themeColor="text1"/>
          <w:sz w:val="28"/>
          <w:szCs w:val="28"/>
        </w:rPr>
      </w:pPr>
      <w:r w:rsidRPr="00693A7C">
        <w:rPr>
          <w:rFonts w:ascii="標楷體" w:eastAsia="標楷體" w:hAnsi="標楷體" w:hint="eastAsia"/>
          <w:color w:val="000000" w:themeColor="text1"/>
          <w:sz w:val="28"/>
          <w:szCs w:val="28"/>
        </w:rPr>
        <w:t>九、研究人員資格審查外審作業比照本注意事項辦理。</w:t>
      </w:r>
    </w:p>
    <w:p w:rsidR="00C52EDD" w:rsidRPr="00693A7C" w:rsidRDefault="00C52EDD" w:rsidP="002334FF">
      <w:pPr>
        <w:overflowPunct w:val="0"/>
        <w:autoSpaceDE w:val="0"/>
        <w:autoSpaceDN w:val="0"/>
        <w:spacing w:beforeLines="50" w:before="180" w:line="400" w:lineRule="exact"/>
        <w:jc w:val="both"/>
        <w:rPr>
          <w:rFonts w:ascii="標楷體" w:eastAsia="標楷體" w:hAnsi="標楷體"/>
          <w:color w:val="000000" w:themeColor="text1"/>
        </w:rPr>
      </w:pPr>
      <w:r w:rsidRPr="00693A7C">
        <w:rPr>
          <w:rFonts w:ascii="標楷體" w:eastAsia="標楷體" w:hAnsi="標楷體" w:hint="eastAsia"/>
          <w:color w:val="000000" w:themeColor="text1"/>
          <w:sz w:val="28"/>
          <w:szCs w:val="28"/>
        </w:rPr>
        <w:t>十、本注意事項經校教評會通過，陳請校長核定後施行，修正時亦同。</w:t>
      </w:r>
    </w:p>
    <w:sectPr w:rsidR="00C52EDD" w:rsidRPr="00693A7C" w:rsidSect="002508ED">
      <w:pgSz w:w="11906" w:h="16838"/>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202" w:rsidRDefault="00522202" w:rsidP="00AF1DA9">
      <w:r>
        <w:separator/>
      </w:r>
    </w:p>
  </w:endnote>
  <w:endnote w:type="continuationSeparator" w:id="0">
    <w:p w:rsidR="00522202" w:rsidRDefault="00522202" w:rsidP="00AF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o....">
    <w:altName w:val="新細明體"/>
    <w:panose1 w:val="00000000000000000000"/>
    <w:charset w:val="88"/>
    <w:family w:val="roman"/>
    <w:notTrueType/>
    <w:pitch w:val="default"/>
    <w:sig w:usb0="00000001" w:usb1="080800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202" w:rsidRDefault="00522202" w:rsidP="00AF1DA9">
      <w:r>
        <w:separator/>
      </w:r>
    </w:p>
  </w:footnote>
  <w:footnote w:type="continuationSeparator" w:id="0">
    <w:p w:rsidR="00522202" w:rsidRDefault="00522202" w:rsidP="00AF1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40C8"/>
    <w:multiLevelType w:val="hybridMultilevel"/>
    <w:tmpl w:val="3918965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BA5583"/>
    <w:multiLevelType w:val="hybridMultilevel"/>
    <w:tmpl w:val="148E0D84"/>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473D6B"/>
    <w:multiLevelType w:val="hybridMultilevel"/>
    <w:tmpl w:val="DBAE4A78"/>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F67D23"/>
    <w:multiLevelType w:val="hybridMultilevel"/>
    <w:tmpl w:val="E8AEDA40"/>
    <w:lvl w:ilvl="0" w:tplc="622217A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A950D5"/>
    <w:multiLevelType w:val="hybridMultilevel"/>
    <w:tmpl w:val="8C7620C4"/>
    <w:lvl w:ilvl="0" w:tplc="04090015">
      <w:start w:val="1"/>
      <w:numFmt w:val="taiwaneseCountingThousand"/>
      <w:lvlText w:val="%1、"/>
      <w:lvlJc w:val="left"/>
      <w:pPr>
        <w:ind w:left="480" w:hanging="480"/>
      </w:pPr>
    </w:lvl>
    <w:lvl w:ilvl="1" w:tplc="C8C814F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E21"/>
    <w:rsid w:val="00071EAA"/>
    <w:rsid w:val="000807F7"/>
    <w:rsid w:val="0008228A"/>
    <w:rsid w:val="0008713A"/>
    <w:rsid w:val="000D0063"/>
    <w:rsid w:val="000D6276"/>
    <w:rsid w:val="000E5E21"/>
    <w:rsid w:val="000F0BD7"/>
    <w:rsid w:val="000F5BE8"/>
    <w:rsid w:val="00115DA0"/>
    <w:rsid w:val="00116CA5"/>
    <w:rsid w:val="00120EB9"/>
    <w:rsid w:val="00190C3C"/>
    <w:rsid w:val="001A4E38"/>
    <w:rsid w:val="001E5130"/>
    <w:rsid w:val="001F2FD0"/>
    <w:rsid w:val="002051E2"/>
    <w:rsid w:val="00211B89"/>
    <w:rsid w:val="002334FF"/>
    <w:rsid w:val="00233EBB"/>
    <w:rsid w:val="00234202"/>
    <w:rsid w:val="00237B15"/>
    <w:rsid w:val="00242B44"/>
    <w:rsid w:val="0025013D"/>
    <w:rsid w:val="002508ED"/>
    <w:rsid w:val="00254F7D"/>
    <w:rsid w:val="00287A3A"/>
    <w:rsid w:val="00293B88"/>
    <w:rsid w:val="002B11A0"/>
    <w:rsid w:val="002D686B"/>
    <w:rsid w:val="0030124A"/>
    <w:rsid w:val="00332EA3"/>
    <w:rsid w:val="00347D1E"/>
    <w:rsid w:val="00370BFD"/>
    <w:rsid w:val="003A05A3"/>
    <w:rsid w:val="003A5D63"/>
    <w:rsid w:val="003B0576"/>
    <w:rsid w:val="003B1E3C"/>
    <w:rsid w:val="00412E8C"/>
    <w:rsid w:val="00444732"/>
    <w:rsid w:val="0045142C"/>
    <w:rsid w:val="00481FAB"/>
    <w:rsid w:val="004B3701"/>
    <w:rsid w:val="004E133A"/>
    <w:rsid w:val="004E3B3E"/>
    <w:rsid w:val="004E7565"/>
    <w:rsid w:val="004F2B8B"/>
    <w:rsid w:val="005007B2"/>
    <w:rsid w:val="005142B7"/>
    <w:rsid w:val="00522202"/>
    <w:rsid w:val="00574FBC"/>
    <w:rsid w:val="005B6D46"/>
    <w:rsid w:val="005B707E"/>
    <w:rsid w:val="005D0A4B"/>
    <w:rsid w:val="005D1854"/>
    <w:rsid w:val="005D6BB2"/>
    <w:rsid w:val="005D7019"/>
    <w:rsid w:val="006012E7"/>
    <w:rsid w:val="00666E1A"/>
    <w:rsid w:val="00672623"/>
    <w:rsid w:val="00693A7C"/>
    <w:rsid w:val="00700B3E"/>
    <w:rsid w:val="007043CB"/>
    <w:rsid w:val="00712784"/>
    <w:rsid w:val="00744BE4"/>
    <w:rsid w:val="007B7937"/>
    <w:rsid w:val="007C2355"/>
    <w:rsid w:val="007D3EFF"/>
    <w:rsid w:val="007E1CC8"/>
    <w:rsid w:val="00801EDD"/>
    <w:rsid w:val="00815528"/>
    <w:rsid w:val="008238B3"/>
    <w:rsid w:val="00886B91"/>
    <w:rsid w:val="008A4B61"/>
    <w:rsid w:val="008B6A6A"/>
    <w:rsid w:val="008F5918"/>
    <w:rsid w:val="00945160"/>
    <w:rsid w:val="00971B21"/>
    <w:rsid w:val="0099132C"/>
    <w:rsid w:val="00997716"/>
    <w:rsid w:val="009C3636"/>
    <w:rsid w:val="009E3329"/>
    <w:rsid w:val="00A1006D"/>
    <w:rsid w:val="00A34659"/>
    <w:rsid w:val="00A55585"/>
    <w:rsid w:val="00A71B1C"/>
    <w:rsid w:val="00A7373E"/>
    <w:rsid w:val="00A7665B"/>
    <w:rsid w:val="00A858BD"/>
    <w:rsid w:val="00AA1EAB"/>
    <w:rsid w:val="00AF1DA9"/>
    <w:rsid w:val="00B10D3B"/>
    <w:rsid w:val="00B40BDC"/>
    <w:rsid w:val="00B547AE"/>
    <w:rsid w:val="00BD53EC"/>
    <w:rsid w:val="00BF1ED0"/>
    <w:rsid w:val="00C146D9"/>
    <w:rsid w:val="00C52EDD"/>
    <w:rsid w:val="00C90A10"/>
    <w:rsid w:val="00CB48BE"/>
    <w:rsid w:val="00CD6C56"/>
    <w:rsid w:val="00CE5B11"/>
    <w:rsid w:val="00D1152E"/>
    <w:rsid w:val="00D247C7"/>
    <w:rsid w:val="00D313B8"/>
    <w:rsid w:val="00D350D6"/>
    <w:rsid w:val="00D41113"/>
    <w:rsid w:val="00D41586"/>
    <w:rsid w:val="00D433AD"/>
    <w:rsid w:val="00D71F36"/>
    <w:rsid w:val="00DB16A0"/>
    <w:rsid w:val="00DC54AF"/>
    <w:rsid w:val="00E03484"/>
    <w:rsid w:val="00E060FF"/>
    <w:rsid w:val="00E11659"/>
    <w:rsid w:val="00E16CD8"/>
    <w:rsid w:val="00E34814"/>
    <w:rsid w:val="00E351F4"/>
    <w:rsid w:val="00F2299B"/>
    <w:rsid w:val="00F84758"/>
    <w:rsid w:val="00FD1196"/>
    <w:rsid w:val="00FE6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E4D45"/>
  <w15:docId w15:val="{58C9E34C-5A75-496C-8247-39BC6AA6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D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565"/>
    <w:pPr>
      <w:ind w:leftChars="200" w:left="480"/>
    </w:pPr>
  </w:style>
  <w:style w:type="paragraph" w:styleId="a4">
    <w:name w:val="Balloon Text"/>
    <w:basedOn w:val="a"/>
    <w:link w:val="a5"/>
    <w:uiPriority w:val="99"/>
    <w:semiHidden/>
    <w:unhideWhenUsed/>
    <w:rsid w:val="00744BE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44BE4"/>
    <w:rPr>
      <w:rFonts w:asciiTheme="majorHAnsi" w:eastAsiaTheme="majorEastAsia" w:hAnsiTheme="majorHAnsi" w:cstheme="majorBidi"/>
      <w:sz w:val="18"/>
      <w:szCs w:val="18"/>
    </w:rPr>
  </w:style>
  <w:style w:type="paragraph" w:styleId="a6">
    <w:name w:val="header"/>
    <w:basedOn w:val="a"/>
    <w:link w:val="a7"/>
    <w:uiPriority w:val="99"/>
    <w:unhideWhenUsed/>
    <w:rsid w:val="00AF1DA9"/>
    <w:pPr>
      <w:tabs>
        <w:tab w:val="center" w:pos="4153"/>
        <w:tab w:val="right" w:pos="8306"/>
      </w:tabs>
      <w:snapToGrid w:val="0"/>
    </w:pPr>
    <w:rPr>
      <w:sz w:val="20"/>
      <w:szCs w:val="20"/>
    </w:rPr>
  </w:style>
  <w:style w:type="character" w:customStyle="1" w:styleId="a7">
    <w:name w:val="頁首 字元"/>
    <w:basedOn w:val="a0"/>
    <w:link w:val="a6"/>
    <w:uiPriority w:val="99"/>
    <w:rsid w:val="00AF1DA9"/>
    <w:rPr>
      <w:sz w:val="20"/>
      <w:szCs w:val="20"/>
    </w:rPr>
  </w:style>
  <w:style w:type="paragraph" w:styleId="a8">
    <w:name w:val="footer"/>
    <w:basedOn w:val="a"/>
    <w:link w:val="a9"/>
    <w:uiPriority w:val="99"/>
    <w:unhideWhenUsed/>
    <w:rsid w:val="00AF1DA9"/>
    <w:pPr>
      <w:tabs>
        <w:tab w:val="center" w:pos="4153"/>
        <w:tab w:val="right" w:pos="8306"/>
      </w:tabs>
      <w:snapToGrid w:val="0"/>
    </w:pPr>
    <w:rPr>
      <w:sz w:val="20"/>
      <w:szCs w:val="20"/>
    </w:rPr>
  </w:style>
  <w:style w:type="character" w:customStyle="1" w:styleId="a9">
    <w:name w:val="頁尾 字元"/>
    <w:basedOn w:val="a0"/>
    <w:link w:val="a8"/>
    <w:uiPriority w:val="99"/>
    <w:rsid w:val="00AF1DA9"/>
    <w:rPr>
      <w:sz w:val="20"/>
      <w:szCs w:val="20"/>
    </w:rPr>
  </w:style>
  <w:style w:type="paragraph" w:customStyle="1" w:styleId="Default">
    <w:name w:val="Default"/>
    <w:rsid w:val="00D247C7"/>
    <w:pPr>
      <w:widowControl w:val="0"/>
      <w:autoSpaceDE w:val="0"/>
      <w:autoSpaceDN w:val="0"/>
      <w:adjustRightInd w:val="0"/>
    </w:pPr>
    <w:rPr>
      <w:rFonts w:ascii="標楷體o...." w:eastAsia="標楷體o...." w:hAnsi="Times New Roman" w:cs="標楷體o...."/>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F0AE0-D771-4DFF-968D-93CD2704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14</cp:revision>
  <cp:lastPrinted>2021-05-11T01:05:00Z</cp:lastPrinted>
  <dcterms:created xsi:type="dcterms:W3CDTF">2021-10-05T03:07:00Z</dcterms:created>
  <dcterms:modified xsi:type="dcterms:W3CDTF">2022-12-14T02:22:00Z</dcterms:modified>
</cp:coreProperties>
</file>