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37" w:rsidRDefault="006C013F" w:rsidP="006C013F">
      <w:pPr>
        <w:widowControl/>
        <w:spacing w:before="100" w:beforeAutospacing="1" w:after="100" w:afterAutospacing="1"/>
        <w:jc w:val="center"/>
        <w:rPr>
          <w:rFonts w:ascii="Times New Roman" w:eastAsia="新細明體" w:hAnsi="Times New Roman" w:cs="Times New Roman"/>
          <w:kern w:val="0"/>
          <w:sz w:val="28"/>
          <w:szCs w:val="28"/>
        </w:rPr>
      </w:pPr>
      <w:r w:rsidRPr="006C013F">
        <w:rPr>
          <w:rFonts w:ascii="Times New Roman" w:eastAsia="新細明體" w:hAnsi="Times New Roman" w:cs="Times New Roman"/>
          <w:kern w:val="0"/>
          <w:sz w:val="28"/>
          <w:szCs w:val="28"/>
        </w:rPr>
        <w:t xml:space="preserve">The Implementation Plan for Performance Bonuses for Contracted Personnel of the School Affairs Fund at National </w:t>
      </w:r>
      <w:proofErr w:type="spellStart"/>
      <w:r w:rsidRPr="006C013F">
        <w:rPr>
          <w:rFonts w:ascii="Times New Roman" w:eastAsia="新細明體" w:hAnsi="Times New Roman" w:cs="Times New Roman"/>
          <w:kern w:val="0"/>
          <w:sz w:val="28"/>
          <w:szCs w:val="28"/>
        </w:rPr>
        <w:t>Changhua</w:t>
      </w:r>
      <w:proofErr w:type="spellEnd"/>
      <w:r w:rsidRPr="006C013F">
        <w:rPr>
          <w:rFonts w:ascii="Times New Roman" w:eastAsia="新細明體" w:hAnsi="Times New Roman" w:cs="Times New Roman"/>
          <w:kern w:val="0"/>
          <w:sz w:val="28"/>
          <w:szCs w:val="28"/>
        </w:rPr>
        <w:t xml:space="preserve"> University of Education</w:t>
      </w:r>
    </w:p>
    <w:p w:rsidR="006C013F" w:rsidRPr="006C013F" w:rsidRDefault="006C013F" w:rsidP="006C013F">
      <w:pPr>
        <w:pStyle w:val="Web"/>
        <w:rPr>
          <w:rFonts w:ascii="Times New Roman" w:hAnsi="Times New Roman" w:cs="Times New Roman"/>
          <w:sz w:val="28"/>
          <w:szCs w:val="28"/>
        </w:rPr>
      </w:pPr>
      <w:r w:rsidRPr="006C013F">
        <w:rPr>
          <w:rFonts w:ascii="Times New Roman" w:hAnsi="Times New Roman" w:cs="Times New Roman"/>
          <w:sz w:val="28"/>
          <w:szCs w:val="28"/>
        </w:rPr>
        <w:t xml:space="preserve">1. To strengthen the performance management system, improve service quality, and reward outstanding contracted personnel, National </w:t>
      </w:r>
      <w:proofErr w:type="spellStart"/>
      <w:r w:rsidRPr="006C013F">
        <w:rPr>
          <w:rFonts w:ascii="Times New Roman" w:hAnsi="Times New Roman" w:cs="Times New Roman"/>
          <w:sz w:val="28"/>
          <w:szCs w:val="28"/>
        </w:rPr>
        <w:t>Changhua</w:t>
      </w:r>
      <w:proofErr w:type="spellEnd"/>
      <w:r w:rsidRPr="006C013F">
        <w:rPr>
          <w:rFonts w:ascii="Times New Roman" w:hAnsi="Times New Roman" w:cs="Times New Roman"/>
          <w:sz w:val="28"/>
          <w:szCs w:val="28"/>
        </w:rPr>
        <w:t xml:space="preserve"> University of Education (hereinafter referred to as "the University") has established this plan.</w:t>
      </w:r>
    </w:p>
    <w:p w:rsidR="006C013F" w:rsidRPr="006C013F" w:rsidRDefault="006C013F" w:rsidP="006C013F">
      <w:pPr>
        <w:pStyle w:val="Web"/>
        <w:rPr>
          <w:rFonts w:ascii="Times New Roman" w:hAnsi="Times New Roman" w:cs="Times New Roman"/>
          <w:sz w:val="28"/>
          <w:szCs w:val="28"/>
        </w:rPr>
      </w:pPr>
      <w:r w:rsidRPr="006C013F">
        <w:rPr>
          <w:rFonts w:ascii="Times New Roman" w:hAnsi="Times New Roman" w:cs="Times New Roman"/>
          <w:sz w:val="28"/>
          <w:szCs w:val="28"/>
        </w:rPr>
        <w:t>2. The term "contracted personnel" in this plan refers to personnel employed through the University's School Affairs Fund, excluding project personnel and specialized staff in the Library and Information Services Office responsible for information system development or management.</w:t>
      </w:r>
    </w:p>
    <w:p w:rsidR="001C6E29" w:rsidRPr="005505C2" w:rsidRDefault="001C6E29" w:rsidP="001C6E29">
      <w:pPr>
        <w:widowControl/>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3. Categories of Rewards, Funding Sources, and Funding Limits:</w:t>
      </w:r>
    </w:p>
    <w:p w:rsidR="001C6E29" w:rsidRPr="005505C2" w:rsidRDefault="001C6E29" w:rsidP="001C6E29">
      <w:pPr>
        <w:widowControl/>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 xml:space="preserve">(a) </w:t>
      </w:r>
      <w:r w:rsidRPr="005505C2">
        <w:rPr>
          <w:rFonts w:ascii="Times New Roman" w:eastAsia="新細明體" w:hAnsi="Times New Roman" w:cs="Times New Roman"/>
          <w:b/>
          <w:bCs/>
          <w:kern w:val="0"/>
          <w:sz w:val="28"/>
          <w:szCs w:val="28"/>
        </w:rPr>
        <w:t>Categories of Rewards</w:t>
      </w:r>
      <w:r w:rsidRPr="005505C2">
        <w:rPr>
          <w:rFonts w:ascii="Times New Roman" w:eastAsia="新細明體" w:hAnsi="Times New Roman" w:cs="Times New Roman"/>
          <w:kern w:val="0"/>
          <w:sz w:val="28"/>
          <w:szCs w:val="28"/>
        </w:rPr>
        <w:t>:</w:t>
      </w:r>
    </w:p>
    <w:p w:rsidR="001C6E29" w:rsidRPr="005505C2" w:rsidRDefault="001C6E29" w:rsidP="001C6E29">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b/>
          <w:bCs/>
          <w:kern w:val="0"/>
          <w:sz w:val="28"/>
          <w:szCs w:val="28"/>
        </w:rPr>
        <w:t>General Contracted Personnel</w:t>
      </w:r>
      <w:r w:rsidRPr="005505C2">
        <w:rPr>
          <w:rFonts w:ascii="Times New Roman" w:eastAsia="新細明體" w:hAnsi="Times New Roman" w:cs="Times New Roman"/>
          <w:kern w:val="0"/>
          <w:sz w:val="28"/>
          <w:szCs w:val="28"/>
        </w:rPr>
        <w:t xml:space="preserve">: </w:t>
      </w:r>
    </w:p>
    <w:p w:rsidR="001C6E29" w:rsidRPr="005505C2" w:rsidRDefault="001C6E29" w:rsidP="001C6E29">
      <w:pPr>
        <w:widowControl/>
        <w:spacing w:before="100" w:beforeAutospacing="1" w:after="100" w:afterAutospacing="1"/>
        <w:ind w:left="360"/>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 xml:space="preserve">(1) </w:t>
      </w:r>
      <w:r w:rsidRPr="005505C2">
        <w:rPr>
          <w:rFonts w:ascii="Times New Roman" w:eastAsia="新細明體" w:hAnsi="Times New Roman" w:cs="Times New Roman"/>
          <w:b/>
          <w:bCs/>
          <w:kern w:val="0"/>
          <w:sz w:val="28"/>
          <w:szCs w:val="28"/>
        </w:rPr>
        <w:t>Number of Awards</w:t>
      </w:r>
      <w:r w:rsidRPr="005505C2">
        <w:rPr>
          <w:rFonts w:ascii="Times New Roman" w:eastAsia="新細明體" w:hAnsi="Times New Roman" w:cs="Times New Roman"/>
          <w:kern w:val="0"/>
          <w:sz w:val="28"/>
          <w:szCs w:val="28"/>
        </w:rPr>
        <w:t xml:space="preserve">: The maximum number of recipients is limited to 30% of the total number of contracted personnel employed as of December 1st of the current year. (2) </w:t>
      </w:r>
      <w:r w:rsidRPr="005505C2">
        <w:rPr>
          <w:rFonts w:ascii="Times New Roman" w:eastAsia="新細明體" w:hAnsi="Times New Roman" w:cs="Times New Roman"/>
          <w:b/>
          <w:bCs/>
          <w:kern w:val="0"/>
          <w:sz w:val="28"/>
          <w:szCs w:val="28"/>
        </w:rPr>
        <w:t>Reward Bonuses</w:t>
      </w:r>
      <w:r w:rsidRPr="005505C2">
        <w:rPr>
          <w:rFonts w:ascii="Times New Roman" w:eastAsia="新細明體" w:hAnsi="Times New Roman" w:cs="Times New Roman"/>
          <w:kern w:val="0"/>
          <w:sz w:val="28"/>
          <w:szCs w:val="28"/>
        </w:rPr>
        <w:t xml:space="preserve">: </w:t>
      </w:r>
    </w:p>
    <w:p w:rsidR="001C6E29" w:rsidRPr="005505C2" w:rsidRDefault="001C6E29" w:rsidP="001C6E29">
      <w:pPr>
        <w:widowControl/>
        <w:spacing w:before="100" w:beforeAutospacing="1" w:after="100" w:afterAutospacing="1"/>
        <w:ind w:left="360"/>
        <w:rPr>
          <w:rFonts w:ascii="Times New Roman" w:eastAsia="新細明體" w:hAnsi="Times New Roman" w:cs="Times New Roman"/>
          <w:kern w:val="0"/>
          <w:sz w:val="28"/>
          <w:szCs w:val="28"/>
        </w:rPr>
      </w:pPr>
      <w:r w:rsidRPr="005505C2">
        <w:rPr>
          <w:rFonts w:ascii="新細明體" w:eastAsia="新細明體" w:hAnsi="新細明體" w:cs="新細明體" w:hint="eastAsia"/>
          <w:kern w:val="0"/>
          <w:sz w:val="28"/>
          <w:szCs w:val="28"/>
        </w:rPr>
        <w:t>①</w:t>
      </w:r>
      <w:r w:rsidRPr="005505C2">
        <w:rPr>
          <w:rFonts w:ascii="Times New Roman" w:eastAsia="新細明體" w:hAnsi="Times New Roman" w:cs="Times New Roman"/>
          <w:kern w:val="0"/>
          <w:sz w:val="28"/>
          <w:szCs w:val="28"/>
        </w:rPr>
        <w:t xml:space="preserve"> </w:t>
      </w:r>
      <w:r w:rsidRPr="005505C2">
        <w:rPr>
          <w:rFonts w:ascii="Times New Roman" w:eastAsia="新細明體" w:hAnsi="Times New Roman" w:cs="Times New Roman"/>
          <w:b/>
          <w:bCs/>
          <w:kern w:val="0"/>
          <w:sz w:val="28"/>
          <w:szCs w:val="28"/>
        </w:rPr>
        <w:t>Outstanding Award</w:t>
      </w:r>
      <w:r w:rsidRPr="005505C2">
        <w:rPr>
          <w:rFonts w:ascii="Times New Roman" w:eastAsia="新細明體" w:hAnsi="Times New Roman" w:cs="Times New Roman"/>
          <w:kern w:val="0"/>
          <w:sz w:val="28"/>
          <w:szCs w:val="28"/>
        </w:rPr>
        <w:t xml:space="preserve">: A one-time bonus of NT$50,000. </w:t>
      </w:r>
    </w:p>
    <w:p w:rsidR="001C6E29" w:rsidRPr="005505C2" w:rsidRDefault="001C6E29" w:rsidP="001C6E29">
      <w:pPr>
        <w:widowControl/>
        <w:spacing w:before="100" w:beforeAutospacing="1" w:after="100" w:afterAutospacing="1"/>
        <w:ind w:left="360"/>
        <w:rPr>
          <w:rFonts w:ascii="Times New Roman" w:eastAsia="新細明體" w:hAnsi="Times New Roman" w:cs="Times New Roman"/>
          <w:kern w:val="0"/>
          <w:sz w:val="28"/>
          <w:szCs w:val="28"/>
        </w:rPr>
      </w:pPr>
      <w:r w:rsidRPr="005505C2">
        <w:rPr>
          <w:rFonts w:ascii="新細明體" w:eastAsia="新細明體" w:hAnsi="新細明體" w:cs="新細明體" w:hint="eastAsia"/>
          <w:kern w:val="0"/>
          <w:sz w:val="28"/>
          <w:szCs w:val="28"/>
        </w:rPr>
        <w:t>②</w:t>
      </w:r>
      <w:r w:rsidRPr="005505C2">
        <w:rPr>
          <w:rFonts w:ascii="Times New Roman" w:eastAsia="新細明體" w:hAnsi="Times New Roman" w:cs="Times New Roman"/>
          <w:kern w:val="0"/>
          <w:sz w:val="28"/>
          <w:szCs w:val="28"/>
        </w:rPr>
        <w:t xml:space="preserve"> </w:t>
      </w:r>
      <w:r w:rsidRPr="005505C2">
        <w:rPr>
          <w:rFonts w:ascii="Times New Roman" w:eastAsia="新細明體" w:hAnsi="Times New Roman" w:cs="Times New Roman"/>
          <w:b/>
          <w:bCs/>
          <w:kern w:val="0"/>
          <w:sz w:val="28"/>
          <w:szCs w:val="28"/>
        </w:rPr>
        <w:t>Excellence Award</w:t>
      </w:r>
      <w:r w:rsidRPr="005505C2">
        <w:rPr>
          <w:rFonts w:ascii="Times New Roman" w:eastAsia="新細明體" w:hAnsi="Times New Roman" w:cs="Times New Roman"/>
          <w:kern w:val="0"/>
          <w:sz w:val="28"/>
          <w:szCs w:val="28"/>
        </w:rPr>
        <w:t xml:space="preserve">: A one-time bonus of NT$40,000. </w:t>
      </w:r>
    </w:p>
    <w:p w:rsidR="001C6E29" w:rsidRPr="005505C2" w:rsidRDefault="001C6E29" w:rsidP="001C6E29">
      <w:pPr>
        <w:widowControl/>
        <w:spacing w:before="100" w:beforeAutospacing="1" w:after="100" w:afterAutospacing="1"/>
        <w:ind w:left="360"/>
        <w:rPr>
          <w:rFonts w:ascii="Times New Roman" w:eastAsia="新細明體" w:hAnsi="Times New Roman" w:cs="Times New Roman"/>
          <w:kern w:val="0"/>
          <w:sz w:val="28"/>
          <w:szCs w:val="28"/>
        </w:rPr>
      </w:pPr>
      <w:r w:rsidRPr="005505C2">
        <w:rPr>
          <w:rFonts w:ascii="新細明體" w:eastAsia="新細明體" w:hAnsi="新細明體" w:cs="新細明體" w:hint="eastAsia"/>
          <w:kern w:val="0"/>
          <w:sz w:val="28"/>
          <w:szCs w:val="28"/>
        </w:rPr>
        <w:t>③</w:t>
      </w:r>
      <w:r w:rsidRPr="005505C2">
        <w:rPr>
          <w:rFonts w:ascii="Times New Roman" w:eastAsia="新細明體" w:hAnsi="Times New Roman" w:cs="Times New Roman"/>
          <w:kern w:val="0"/>
          <w:sz w:val="28"/>
          <w:szCs w:val="28"/>
        </w:rPr>
        <w:t xml:space="preserve"> </w:t>
      </w:r>
      <w:r w:rsidRPr="005505C2">
        <w:rPr>
          <w:rFonts w:ascii="Times New Roman" w:eastAsia="新細明體" w:hAnsi="Times New Roman" w:cs="Times New Roman"/>
          <w:b/>
          <w:bCs/>
          <w:kern w:val="0"/>
          <w:sz w:val="28"/>
          <w:szCs w:val="28"/>
        </w:rPr>
        <w:t>Merit Award</w:t>
      </w:r>
      <w:r w:rsidRPr="005505C2">
        <w:rPr>
          <w:rFonts w:ascii="Times New Roman" w:eastAsia="新細明體" w:hAnsi="Times New Roman" w:cs="Times New Roman"/>
          <w:kern w:val="0"/>
          <w:sz w:val="28"/>
          <w:szCs w:val="28"/>
        </w:rPr>
        <w:t>: A one-time bonus of NT$30,000.</w:t>
      </w:r>
    </w:p>
    <w:p w:rsidR="001C6E29" w:rsidRPr="005505C2" w:rsidRDefault="001C6E29" w:rsidP="001C6E29">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b/>
          <w:bCs/>
          <w:kern w:val="0"/>
          <w:sz w:val="28"/>
          <w:szCs w:val="28"/>
        </w:rPr>
        <w:t>Administrative Assistants</w:t>
      </w:r>
      <w:r w:rsidRPr="005505C2">
        <w:rPr>
          <w:rFonts w:ascii="Times New Roman" w:eastAsia="新細明體" w:hAnsi="Times New Roman" w:cs="Times New Roman"/>
          <w:kern w:val="0"/>
          <w:sz w:val="28"/>
          <w:szCs w:val="28"/>
        </w:rPr>
        <w:t xml:space="preserve">: </w:t>
      </w:r>
    </w:p>
    <w:p w:rsidR="001C6E29" w:rsidRPr="005505C2" w:rsidRDefault="001C6E29" w:rsidP="001C6E29">
      <w:pPr>
        <w:widowControl/>
        <w:spacing w:before="100" w:beforeAutospacing="1" w:after="100" w:afterAutospacing="1"/>
        <w:ind w:left="720"/>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 xml:space="preserve">(1) </w:t>
      </w:r>
      <w:r w:rsidRPr="005505C2">
        <w:rPr>
          <w:rFonts w:ascii="Times New Roman" w:eastAsia="新細明體" w:hAnsi="Times New Roman" w:cs="Times New Roman"/>
          <w:b/>
          <w:bCs/>
          <w:kern w:val="0"/>
          <w:sz w:val="28"/>
          <w:szCs w:val="28"/>
        </w:rPr>
        <w:t>Number of Awards</w:t>
      </w:r>
      <w:r w:rsidRPr="005505C2">
        <w:rPr>
          <w:rFonts w:ascii="Times New Roman" w:eastAsia="新細明體" w:hAnsi="Times New Roman" w:cs="Times New Roman"/>
          <w:kern w:val="0"/>
          <w:sz w:val="28"/>
          <w:szCs w:val="28"/>
        </w:rPr>
        <w:t>: The maximum number of recipients is limited to 30% of the total number of administrative assistants employed as of December 1st of the current year.</w:t>
      </w:r>
    </w:p>
    <w:p w:rsidR="001C6E29" w:rsidRPr="005505C2" w:rsidRDefault="001C6E29" w:rsidP="005505C2">
      <w:pPr>
        <w:widowControl/>
        <w:spacing w:before="100" w:beforeAutospacing="1" w:after="100" w:afterAutospacing="1"/>
        <w:ind w:firstLineChars="300" w:firstLine="840"/>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 xml:space="preserve">(2) </w:t>
      </w:r>
      <w:r w:rsidRPr="005505C2">
        <w:rPr>
          <w:rFonts w:ascii="Times New Roman" w:eastAsia="新細明體" w:hAnsi="Times New Roman" w:cs="Times New Roman"/>
          <w:b/>
          <w:bCs/>
          <w:kern w:val="0"/>
          <w:sz w:val="28"/>
          <w:szCs w:val="28"/>
        </w:rPr>
        <w:t>Reward Bonus</w:t>
      </w:r>
      <w:r w:rsidRPr="005505C2">
        <w:rPr>
          <w:rFonts w:ascii="Times New Roman" w:eastAsia="新細明體" w:hAnsi="Times New Roman" w:cs="Times New Roman"/>
          <w:kern w:val="0"/>
          <w:sz w:val="28"/>
          <w:szCs w:val="28"/>
        </w:rPr>
        <w:t>: A one-time bonus of NT$20,000.</w:t>
      </w:r>
    </w:p>
    <w:p w:rsidR="001C6E29" w:rsidRPr="005505C2" w:rsidRDefault="001C6E29" w:rsidP="001C6E29">
      <w:pPr>
        <w:widowControl/>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lastRenderedPageBreak/>
        <w:t xml:space="preserve">(b) </w:t>
      </w:r>
      <w:r w:rsidRPr="005505C2">
        <w:rPr>
          <w:rFonts w:ascii="Times New Roman" w:eastAsia="新細明體" w:hAnsi="Times New Roman" w:cs="Times New Roman"/>
          <w:b/>
          <w:bCs/>
          <w:kern w:val="0"/>
          <w:sz w:val="28"/>
          <w:szCs w:val="28"/>
        </w:rPr>
        <w:t>Funding Sources</w:t>
      </w:r>
      <w:r w:rsidRPr="005505C2">
        <w:rPr>
          <w:rFonts w:ascii="Times New Roman" w:eastAsia="新細明體" w:hAnsi="Times New Roman" w:cs="Times New Roman"/>
          <w:kern w:val="0"/>
          <w:sz w:val="28"/>
          <w:szCs w:val="28"/>
        </w:rPr>
        <w:t>: The bonuses are funded by the University's School Affairs Fund or other relevant financial resources.</w:t>
      </w:r>
    </w:p>
    <w:p w:rsidR="001C6E29" w:rsidRPr="005505C2" w:rsidRDefault="001C6E29" w:rsidP="001C6E29">
      <w:pPr>
        <w:widowControl/>
        <w:spacing w:before="100" w:beforeAutospacing="1" w:after="100" w:afterAutospacing="1"/>
        <w:rPr>
          <w:rFonts w:ascii="Times New Roman" w:eastAsia="新細明體" w:hAnsi="Times New Roman" w:cs="Times New Roman"/>
          <w:kern w:val="0"/>
          <w:sz w:val="28"/>
          <w:szCs w:val="28"/>
        </w:rPr>
      </w:pPr>
      <w:r w:rsidRPr="005505C2">
        <w:rPr>
          <w:rFonts w:ascii="Times New Roman" w:eastAsia="新細明體" w:hAnsi="Times New Roman" w:cs="Times New Roman"/>
          <w:kern w:val="0"/>
          <w:sz w:val="28"/>
          <w:szCs w:val="28"/>
        </w:rPr>
        <w:t xml:space="preserve">(c) </w:t>
      </w:r>
      <w:r w:rsidRPr="005505C2">
        <w:rPr>
          <w:rFonts w:ascii="Times New Roman" w:eastAsia="新細明體" w:hAnsi="Times New Roman" w:cs="Times New Roman"/>
          <w:b/>
          <w:bCs/>
          <w:kern w:val="0"/>
          <w:sz w:val="28"/>
          <w:szCs w:val="28"/>
        </w:rPr>
        <w:t>Funding Limit</w:t>
      </w:r>
      <w:r w:rsidRPr="005505C2">
        <w:rPr>
          <w:rFonts w:ascii="Times New Roman" w:eastAsia="新細明體" w:hAnsi="Times New Roman" w:cs="Times New Roman"/>
          <w:kern w:val="0"/>
          <w:sz w:val="28"/>
          <w:szCs w:val="28"/>
        </w:rPr>
        <w:t>: The total budget is capped at NT$2 million.</w:t>
      </w:r>
    </w:p>
    <w:p w:rsidR="002D6C4A" w:rsidRPr="003564A4" w:rsidRDefault="002D6C4A" w:rsidP="002D6C4A">
      <w:pPr>
        <w:pStyle w:val="Web"/>
        <w:rPr>
          <w:rFonts w:ascii="Times New Roman" w:hAnsi="Times New Roman" w:cs="Times New Roman"/>
          <w:sz w:val="28"/>
          <w:szCs w:val="28"/>
        </w:rPr>
      </w:pPr>
      <w:r w:rsidRPr="003564A4">
        <w:rPr>
          <w:rStyle w:val="a3"/>
          <w:rFonts w:ascii="Times New Roman" w:hAnsi="Times New Roman" w:cs="Times New Roman"/>
          <w:sz w:val="28"/>
          <w:szCs w:val="28"/>
        </w:rPr>
        <w:t xml:space="preserve">4. </w:t>
      </w:r>
      <w:r w:rsidRPr="003564A4">
        <w:rPr>
          <w:rStyle w:val="a3"/>
          <w:rFonts w:ascii="Times New Roman" w:hAnsi="Times New Roman" w:cs="Times New Roman"/>
          <w:sz w:val="28"/>
          <w:szCs w:val="28"/>
        </w:rPr>
        <w:t>Implementation Methods and Evaluation Procedures</w:t>
      </w:r>
      <w:r w:rsidRPr="003564A4">
        <w:rPr>
          <w:rFonts w:ascii="Times New Roman" w:hAnsi="Times New Roman" w:cs="Times New Roman"/>
          <w:sz w:val="28"/>
          <w:szCs w:val="28"/>
        </w:rPr>
        <w:t>:</w:t>
      </w:r>
    </w:p>
    <w:p w:rsidR="002D6C4A" w:rsidRPr="003564A4" w:rsidRDefault="002D6C4A" w:rsidP="002D6C4A">
      <w:pPr>
        <w:pStyle w:val="Web"/>
        <w:rPr>
          <w:rFonts w:ascii="Times New Roman" w:hAnsi="Times New Roman" w:cs="Times New Roman"/>
          <w:sz w:val="28"/>
          <w:szCs w:val="28"/>
        </w:rPr>
      </w:pPr>
      <w:r w:rsidRPr="003564A4">
        <w:rPr>
          <w:rFonts w:ascii="Times New Roman" w:hAnsi="Times New Roman" w:cs="Times New Roman"/>
          <w:sz w:val="28"/>
          <w:szCs w:val="28"/>
        </w:rPr>
        <w:t xml:space="preserve">(a) </w:t>
      </w:r>
      <w:r w:rsidRPr="003564A4">
        <w:rPr>
          <w:rStyle w:val="a3"/>
          <w:rFonts w:ascii="Times New Roman" w:hAnsi="Times New Roman" w:cs="Times New Roman"/>
          <w:sz w:val="28"/>
          <w:szCs w:val="28"/>
        </w:rPr>
        <w:t>Implementation Methods</w:t>
      </w:r>
      <w:r w:rsidRPr="003564A4">
        <w:rPr>
          <w:rFonts w:ascii="Times New Roman" w:hAnsi="Times New Roman" w:cs="Times New Roman"/>
          <w:sz w:val="28"/>
          <w:szCs w:val="28"/>
        </w:rPr>
        <w:t>:</w:t>
      </w:r>
    </w:p>
    <w:p w:rsidR="002D6C4A" w:rsidRPr="002D6C4A" w:rsidRDefault="002D6C4A" w:rsidP="002D6C4A">
      <w:pPr>
        <w:pStyle w:val="Web"/>
        <w:numPr>
          <w:ilvl w:val="0"/>
          <w:numId w:val="2"/>
        </w:numPr>
        <w:rPr>
          <w:rFonts w:ascii="Times New Roman" w:hAnsi="Times New Roman" w:cs="Times New Roman"/>
          <w:sz w:val="28"/>
          <w:szCs w:val="28"/>
        </w:rPr>
      </w:pPr>
      <w:r w:rsidRPr="002D6C4A">
        <w:rPr>
          <w:rStyle w:val="a3"/>
          <w:rFonts w:ascii="Times New Roman" w:hAnsi="Times New Roman" w:cs="Times New Roman"/>
          <w:sz w:val="28"/>
          <w:szCs w:val="28"/>
        </w:rPr>
        <w:t>Establishment of the Performance Evaluation Committee (hereinafter referred to as "the Committee")</w:t>
      </w:r>
      <w:r w:rsidRPr="002D6C4A">
        <w:rPr>
          <w:rFonts w:ascii="Times New Roman" w:hAnsi="Times New Roman" w:cs="Times New Roman"/>
          <w:sz w:val="28"/>
          <w:szCs w:val="28"/>
        </w:rPr>
        <w:t xml:space="preserve">: </w:t>
      </w:r>
    </w:p>
    <w:p w:rsidR="002D6C4A" w:rsidRPr="002D6C4A" w:rsidRDefault="002D6C4A" w:rsidP="002D6C4A">
      <w:pPr>
        <w:pStyle w:val="Web"/>
        <w:ind w:left="720"/>
        <w:rPr>
          <w:rFonts w:ascii="Times New Roman" w:hAnsi="Times New Roman" w:cs="Times New Roman"/>
          <w:sz w:val="28"/>
          <w:szCs w:val="28"/>
        </w:rPr>
      </w:pPr>
      <w:r w:rsidRPr="002D6C4A">
        <w:rPr>
          <w:rFonts w:ascii="Times New Roman" w:hAnsi="Times New Roman" w:cs="Times New Roman"/>
          <w:sz w:val="28"/>
          <w:szCs w:val="28"/>
        </w:rPr>
        <w:t xml:space="preserve">(1) The Committee shall consist of 15 members, appointed by the University President. These include 9 heads of first-level units and 5 non-supervisory faculty representatives. The Vice President will serve as the Chair of the Committee. Members are appointed for a one-year term and may be reappointed upon designation by the President. </w:t>
      </w:r>
    </w:p>
    <w:p w:rsidR="002D6C4A" w:rsidRPr="002D6C4A" w:rsidRDefault="002D6C4A" w:rsidP="002D6C4A">
      <w:pPr>
        <w:pStyle w:val="Web"/>
        <w:ind w:left="720"/>
        <w:rPr>
          <w:rFonts w:ascii="Times New Roman" w:hAnsi="Times New Roman" w:cs="Times New Roman"/>
          <w:sz w:val="28"/>
          <w:szCs w:val="28"/>
        </w:rPr>
      </w:pPr>
      <w:r w:rsidRPr="002D6C4A">
        <w:rPr>
          <w:rFonts w:ascii="Times New Roman" w:hAnsi="Times New Roman" w:cs="Times New Roman"/>
          <w:sz w:val="28"/>
          <w:szCs w:val="28"/>
        </w:rPr>
        <w:t>(2) The Committee meetings require the presence of more than half of the members to convene. Decisions are made with the approval of more than half of the attending members.</w:t>
      </w:r>
    </w:p>
    <w:p w:rsidR="002D6C4A" w:rsidRPr="002D6C4A" w:rsidRDefault="002D6C4A" w:rsidP="002D6C4A">
      <w:pPr>
        <w:pStyle w:val="Web"/>
        <w:numPr>
          <w:ilvl w:val="0"/>
          <w:numId w:val="2"/>
        </w:numPr>
        <w:rPr>
          <w:rFonts w:ascii="Times New Roman" w:hAnsi="Times New Roman" w:cs="Times New Roman"/>
          <w:sz w:val="28"/>
          <w:szCs w:val="28"/>
        </w:rPr>
      </w:pPr>
      <w:r w:rsidRPr="002D6C4A">
        <w:rPr>
          <w:rStyle w:val="a3"/>
          <w:rFonts w:ascii="Times New Roman" w:hAnsi="Times New Roman" w:cs="Times New Roman"/>
          <w:sz w:val="28"/>
          <w:szCs w:val="28"/>
        </w:rPr>
        <w:t>Nomination of Award Quotas</w:t>
      </w:r>
      <w:r w:rsidRPr="002D6C4A">
        <w:rPr>
          <w:rFonts w:ascii="Times New Roman" w:hAnsi="Times New Roman" w:cs="Times New Roman"/>
          <w:sz w:val="28"/>
          <w:szCs w:val="28"/>
        </w:rPr>
        <w:t xml:space="preserve">: </w:t>
      </w:r>
    </w:p>
    <w:p w:rsidR="002D6C4A" w:rsidRPr="002D6C4A" w:rsidRDefault="002D6C4A" w:rsidP="002D6C4A">
      <w:pPr>
        <w:pStyle w:val="Web"/>
        <w:ind w:left="720"/>
        <w:rPr>
          <w:rFonts w:ascii="Times New Roman" w:hAnsi="Times New Roman" w:cs="Times New Roman"/>
          <w:sz w:val="28"/>
          <w:szCs w:val="28"/>
        </w:rPr>
      </w:pPr>
      <w:r w:rsidRPr="002D6C4A">
        <w:rPr>
          <w:rFonts w:ascii="Times New Roman" w:hAnsi="Times New Roman" w:cs="Times New Roman"/>
          <w:sz w:val="28"/>
          <w:szCs w:val="28"/>
        </w:rPr>
        <w:t xml:space="preserve">(1) Each first-level unit may nominate a maximum of 30% of the general contracted personnel and administrative assistants employed as of December 1st of the current year. Any fraction is rounded up, and at least one nomination is required. </w:t>
      </w:r>
    </w:p>
    <w:p w:rsidR="002D6C4A" w:rsidRPr="002D6C4A" w:rsidRDefault="002D6C4A" w:rsidP="002D6C4A">
      <w:pPr>
        <w:pStyle w:val="Web"/>
        <w:ind w:left="720"/>
        <w:rPr>
          <w:rFonts w:ascii="Times New Roman" w:hAnsi="Times New Roman" w:cs="Times New Roman"/>
          <w:sz w:val="28"/>
          <w:szCs w:val="28"/>
        </w:rPr>
      </w:pPr>
      <w:r w:rsidRPr="002D6C4A">
        <w:rPr>
          <w:rFonts w:ascii="Times New Roman" w:hAnsi="Times New Roman" w:cs="Times New Roman"/>
          <w:sz w:val="28"/>
          <w:szCs w:val="28"/>
        </w:rPr>
        <w:t xml:space="preserve">(2) For academic departments and research institutes, the quota is calculated based on the total number within the respective college. </w:t>
      </w:r>
    </w:p>
    <w:p w:rsidR="002D6C4A" w:rsidRPr="002D6C4A" w:rsidRDefault="002D6C4A" w:rsidP="002D6C4A">
      <w:pPr>
        <w:pStyle w:val="Web"/>
        <w:ind w:left="720"/>
        <w:rPr>
          <w:rFonts w:ascii="Times New Roman" w:hAnsi="Times New Roman" w:cs="Times New Roman"/>
          <w:sz w:val="28"/>
          <w:szCs w:val="28"/>
        </w:rPr>
      </w:pPr>
      <w:r w:rsidRPr="002D6C4A">
        <w:rPr>
          <w:rFonts w:ascii="Times New Roman" w:hAnsi="Times New Roman" w:cs="Times New Roman"/>
          <w:sz w:val="28"/>
          <w:szCs w:val="28"/>
        </w:rPr>
        <w:t>(3) The Personnel Office shall announce the nomination quotas and confirm the number of awardees for each first-level unit and college by December 2nd of the current year.</w:t>
      </w:r>
    </w:p>
    <w:p w:rsidR="002D6C4A" w:rsidRPr="002D6C4A" w:rsidRDefault="002D6C4A" w:rsidP="002D6C4A">
      <w:pPr>
        <w:pStyle w:val="Web"/>
        <w:numPr>
          <w:ilvl w:val="0"/>
          <w:numId w:val="2"/>
        </w:numPr>
        <w:rPr>
          <w:rFonts w:ascii="Times New Roman" w:hAnsi="Times New Roman" w:cs="Times New Roman"/>
          <w:sz w:val="28"/>
          <w:szCs w:val="28"/>
        </w:rPr>
      </w:pPr>
      <w:r w:rsidRPr="002D6C4A">
        <w:rPr>
          <w:rStyle w:val="a3"/>
          <w:rFonts w:ascii="Times New Roman" w:hAnsi="Times New Roman" w:cs="Times New Roman"/>
          <w:sz w:val="28"/>
          <w:szCs w:val="28"/>
        </w:rPr>
        <w:t>Organize an Award Ceremony</w:t>
      </w:r>
      <w:r w:rsidRPr="002D6C4A">
        <w:rPr>
          <w:rFonts w:ascii="Times New Roman" w:hAnsi="Times New Roman" w:cs="Times New Roman"/>
          <w:sz w:val="28"/>
          <w:szCs w:val="28"/>
        </w:rPr>
        <w:t>: The University will hold an award ceremony, and the achievements of the recipients of the Outstanding Award will be publicly displayed on the website as role models for others.</w:t>
      </w:r>
    </w:p>
    <w:p w:rsidR="00C26FDE" w:rsidRPr="00C26FDE" w:rsidRDefault="00C26FDE" w:rsidP="00C26FDE">
      <w:pPr>
        <w:widowControl/>
        <w:spacing w:before="100" w:beforeAutospacing="1" w:after="100" w:afterAutospacing="1"/>
        <w:rPr>
          <w:rFonts w:ascii="Times New Roman" w:eastAsia="新細明體" w:hAnsi="Times New Roman" w:cs="Times New Roman"/>
          <w:kern w:val="0"/>
          <w:sz w:val="28"/>
          <w:szCs w:val="28"/>
        </w:rPr>
      </w:pPr>
      <w:r w:rsidRPr="00C26FDE">
        <w:rPr>
          <w:rFonts w:ascii="Times New Roman" w:eastAsia="新細明體" w:hAnsi="Times New Roman" w:cs="Times New Roman"/>
          <w:kern w:val="0"/>
          <w:sz w:val="28"/>
          <w:szCs w:val="28"/>
        </w:rPr>
        <w:lastRenderedPageBreak/>
        <w:t xml:space="preserve">(b) </w:t>
      </w:r>
      <w:r w:rsidRPr="00C26FDE">
        <w:rPr>
          <w:rFonts w:ascii="Times New Roman" w:eastAsia="新細明體" w:hAnsi="Times New Roman" w:cs="Times New Roman"/>
          <w:b/>
          <w:bCs/>
          <w:kern w:val="0"/>
          <w:sz w:val="28"/>
          <w:szCs w:val="28"/>
        </w:rPr>
        <w:t>Performance Evaluation Procedures</w:t>
      </w:r>
      <w:r w:rsidRPr="00C26FDE">
        <w:rPr>
          <w:rFonts w:ascii="Times New Roman" w:eastAsia="新細明體" w:hAnsi="Times New Roman" w:cs="Times New Roman"/>
          <w:kern w:val="0"/>
          <w:sz w:val="28"/>
          <w:szCs w:val="28"/>
        </w:rPr>
        <w:t>:</w:t>
      </w:r>
    </w:p>
    <w:p w:rsidR="00C26FDE" w:rsidRPr="00C26FDE" w:rsidRDefault="00C26FDE" w:rsidP="00C26FDE">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C26FDE">
        <w:rPr>
          <w:rFonts w:ascii="Times New Roman" w:eastAsia="新細明體" w:hAnsi="Times New Roman" w:cs="Times New Roman"/>
          <w:b/>
          <w:bCs/>
          <w:kern w:val="0"/>
          <w:sz w:val="28"/>
          <w:szCs w:val="28"/>
        </w:rPr>
        <w:t>Nomination and Evaluation by Units</w:t>
      </w:r>
      <w:r w:rsidRPr="00C26FDE">
        <w:rPr>
          <w:rFonts w:ascii="Times New Roman" w:eastAsia="新細明體" w:hAnsi="Times New Roman" w:cs="Times New Roman"/>
          <w:kern w:val="0"/>
          <w:sz w:val="28"/>
          <w:szCs w:val="28"/>
        </w:rPr>
        <w:t>: Each first-level unit and college shall nominate personnel for rewards by completing a Performance Bonus Evaluation Form (in the format provided in the attachment) and conducting an evaluation.</w:t>
      </w:r>
    </w:p>
    <w:p w:rsidR="00C26FDE" w:rsidRPr="00C26FDE" w:rsidRDefault="00C26FDE" w:rsidP="00C26FDE">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C26FDE">
        <w:rPr>
          <w:rFonts w:ascii="Times New Roman" w:eastAsia="新細明體" w:hAnsi="Times New Roman" w:cs="Times New Roman"/>
          <w:b/>
          <w:bCs/>
          <w:kern w:val="0"/>
          <w:sz w:val="28"/>
          <w:szCs w:val="28"/>
        </w:rPr>
        <w:t>Submission of Confirmed Awardees</w:t>
      </w:r>
      <w:r w:rsidRPr="00C26FDE">
        <w:rPr>
          <w:rFonts w:ascii="Times New Roman" w:eastAsia="新細明體" w:hAnsi="Times New Roman" w:cs="Times New Roman"/>
          <w:kern w:val="0"/>
          <w:sz w:val="28"/>
          <w:szCs w:val="28"/>
        </w:rPr>
        <w:t>: Each first-level unit and college shall submit the confirmed list of awardees based on the quotas announced by the Personnel Office.</w:t>
      </w:r>
    </w:p>
    <w:p w:rsidR="00C26FDE" w:rsidRPr="00C26FDE" w:rsidRDefault="00C26FDE" w:rsidP="00C26FDE">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C26FDE">
        <w:rPr>
          <w:rFonts w:ascii="Times New Roman" w:eastAsia="新細明體" w:hAnsi="Times New Roman" w:cs="Times New Roman"/>
          <w:b/>
          <w:bCs/>
          <w:kern w:val="0"/>
          <w:sz w:val="28"/>
          <w:szCs w:val="28"/>
        </w:rPr>
        <w:t>Selection of Additional Awardees</w:t>
      </w:r>
      <w:r w:rsidRPr="00C26FDE">
        <w:rPr>
          <w:rFonts w:ascii="Times New Roman" w:eastAsia="新細明體" w:hAnsi="Times New Roman" w:cs="Times New Roman"/>
          <w:kern w:val="0"/>
          <w:sz w:val="28"/>
          <w:szCs w:val="28"/>
        </w:rPr>
        <w:t>: After deducting the confirmed awardees, the remaining nominated personnel from each first-level unit and college shall undergo a combined evaluation. The evaluation must ensure a balance between administrative and academic units. Based on the evaluation scores, the top 30% will be selected as awardees.</w:t>
      </w:r>
    </w:p>
    <w:p w:rsidR="00C26FDE" w:rsidRPr="00C26FDE" w:rsidRDefault="00C26FDE" w:rsidP="00C26FDE">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C26FDE">
        <w:rPr>
          <w:rFonts w:ascii="Times New Roman" w:eastAsia="新細明體" w:hAnsi="Times New Roman" w:cs="Times New Roman"/>
          <w:b/>
          <w:bCs/>
          <w:kern w:val="0"/>
          <w:sz w:val="28"/>
          <w:szCs w:val="28"/>
        </w:rPr>
        <w:t>Review Process</w:t>
      </w:r>
      <w:r w:rsidRPr="00C26FDE">
        <w:rPr>
          <w:rFonts w:ascii="Times New Roman" w:eastAsia="新細明體" w:hAnsi="Times New Roman" w:cs="Times New Roman"/>
          <w:kern w:val="0"/>
          <w:sz w:val="28"/>
          <w:szCs w:val="28"/>
        </w:rPr>
        <w:t>: The Performance Bonus Evaluation Forms and supporting documents must be confidentially sent to the Committee members for review and scoring two weeks prior to the meeting. The Committee will then consolidate the evaluations and deliberate on the individual contributions to determine the final list of awardees and the corresponding bonus amounts. The results will be submitted to the University President for approval.</w:t>
      </w:r>
    </w:p>
    <w:p w:rsidR="006C013F" w:rsidRDefault="00C26FDE" w:rsidP="006C013F">
      <w:pPr>
        <w:widowControl/>
        <w:numPr>
          <w:ilvl w:val="0"/>
          <w:numId w:val="3"/>
        </w:numPr>
        <w:spacing w:before="100" w:beforeAutospacing="1" w:after="100" w:afterAutospacing="1"/>
        <w:rPr>
          <w:rFonts w:ascii="Times New Roman" w:eastAsia="新細明體" w:hAnsi="Times New Roman" w:cs="Times New Roman" w:hint="eastAsia"/>
          <w:kern w:val="0"/>
          <w:sz w:val="28"/>
          <w:szCs w:val="28"/>
        </w:rPr>
      </w:pPr>
      <w:r w:rsidRPr="00C26FDE">
        <w:rPr>
          <w:rFonts w:ascii="Times New Roman" w:eastAsia="新細明體" w:hAnsi="Times New Roman" w:cs="Times New Roman"/>
          <w:b/>
          <w:bCs/>
          <w:kern w:val="0"/>
          <w:sz w:val="28"/>
          <w:szCs w:val="28"/>
        </w:rPr>
        <w:t>Reconsideration by the President</w:t>
      </w:r>
      <w:r w:rsidRPr="00C26FDE">
        <w:rPr>
          <w:rFonts w:ascii="Times New Roman" w:eastAsia="新細明體" w:hAnsi="Times New Roman" w:cs="Times New Roman"/>
          <w:kern w:val="0"/>
          <w:sz w:val="28"/>
          <w:szCs w:val="28"/>
        </w:rPr>
        <w:t>: If the President has any objections to the initial results, the matter shall be referred back to the Committee for reconsideration. If the President still disagrees with the outcome of the reconsideration, they may make changes with a noted explanation.</w:t>
      </w:r>
    </w:p>
    <w:p w:rsidR="00BB22AE" w:rsidRDefault="00BB22AE" w:rsidP="00BB22AE">
      <w:pPr>
        <w:widowControl/>
        <w:spacing w:before="100" w:beforeAutospacing="1" w:after="100" w:afterAutospacing="1"/>
        <w:rPr>
          <w:rFonts w:ascii="Times New Roman" w:eastAsia="新細明體" w:hAnsi="Times New Roman" w:cs="Times New Roman" w:hint="eastAsia"/>
          <w:kern w:val="0"/>
          <w:sz w:val="28"/>
          <w:szCs w:val="28"/>
        </w:rPr>
      </w:pPr>
    </w:p>
    <w:p w:rsidR="00BB22AE" w:rsidRPr="00BB22AE" w:rsidRDefault="007C7428" w:rsidP="00BB22AE">
      <w:pPr>
        <w:widowControl/>
        <w:spacing w:before="100" w:beforeAutospacing="1" w:after="100" w:afterAutospacing="1"/>
        <w:rPr>
          <w:rFonts w:ascii="Times New Roman" w:eastAsia="新細明體" w:hAnsi="Times New Roman" w:cs="Times New Roman"/>
          <w:kern w:val="0"/>
          <w:sz w:val="28"/>
          <w:szCs w:val="28"/>
        </w:rPr>
      </w:pPr>
      <w:r>
        <w:rPr>
          <w:rFonts w:ascii="Times New Roman" w:eastAsia="新細明體" w:hAnsi="Times New Roman" w:cs="Times New Roman" w:hint="eastAsia"/>
          <w:kern w:val="0"/>
          <w:sz w:val="28"/>
          <w:szCs w:val="28"/>
        </w:rPr>
        <w:t>5</w:t>
      </w:r>
      <w:r w:rsidR="00BB22AE" w:rsidRPr="00BB22AE">
        <w:rPr>
          <w:rFonts w:ascii="Times New Roman" w:eastAsia="新細明體" w:hAnsi="Times New Roman" w:cs="Times New Roman"/>
          <w:kern w:val="0"/>
          <w:sz w:val="28"/>
          <w:szCs w:val="28"/>
        </w:rPr>
        <w:t>. The following performance evaluation items must be reported annually and scored by the unit supervisor and Committee members:</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 xml:space="preserve">(a) </w:t>
      </w:r>
      <w:r w:rsidRPr="00BB22AE">
        <w:rPr>
          <w:rFonts w:ascii="Times New Roman" w:eastAsia="新細明體" w:hAnsi="Times New Roman" w:cs="Times New Roman"/>
          <w:b/>
          <w:bCs/>
          <w:kern w:val="0"/>
          <w:sz w:val="28"/>
          <w:szCs w:val="28"/>
        </w:rPr>
        <w:t>Achievement of Specific Work Objectives</w:t>
      </w:r>
      <w:r w:rsidRPr="00BB22AE">
        <w:rPr>
          <w:rFonts w:ascii="Times New Roman" w:eastAsia="新細明體" w:hAnsi="Times New Roman" w:cs="Times New Roman"/>
          <w:kern w:val="0"/>
          <w:sz w:val="28"/>
          <w:szCs w:val="28"/>
        </w:rPr>
        <w:t>: Demonstrated achievement of concrete work goals with supporting evidence.</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 xml:space="preserve">(b) </w:t>
      </w:r>
      <w:r w:rsidRPr="00BB22AE">
        <w:rPr>
          <w:rFonts w:ascii="Times New Roman" w:eastAsia="新細明體" w:hAnsi="Times New Roman" w:cs="Times New Roman"/>
          <w:b/>
          <w:bCs/>
          <w:kern w:val="0"/>
          <w:sz w:val="28"/>
          <w:szCs w:val="28"/>
        </w:rPr>
        <w:t>Innovation in Technology, Methods, or Management</w:t>
      </w:r>
      <w:r w:rsidRPr="00BB22AE">
        <w:rPr>
          <w:rFonts w:ascii="Times New Roman" w:eastAsia="新細明體" w:hAnsi="Times New Roman" w:cs="Times New Roman"/>
          <w:kern w:val="0"/>
          <w:sz w:val="28"/>
          <w:szCs w:val="28"/>
        </w:rPr>
        <w:t xml:space="preserve">: Effective implementation of innovative techniques, methods, or </w:t>
      </w:r>
      <w:r w:rsidRPr="00BB22AE">
        <w:rPr>
          <w:rFonts w:ascii="Times New Roman" w:eastAsia="新細明體" w:hAnsi="Times New Roman" w:cs="Times New Roman"/>
          <w:kern w:val="0"/>
          <w:sz w:val="28"/>
          <w:szCs w:val="28"/>
        </w:rPr>
        <w:lastRenderedPageBreak/>
        <w:t>management measures that lead to significant improvements in resource generation or cost-saving.</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 xml:space="preserve">(c) </w:t>
      </w:r>
      <w:r w:rsidRPr="00BB22AE">
        <w:rPr>
          <w:rFonts w:ascii="Times New Roman" w:eastAsia="新細明體" w:hAnsi="Times New Roman" w:cs="Times New Roman"/>
          <w:b/>
          <w:bCs/>
          <w:kern w:val="0"/>
          <w:sz w:val="28"/>
          <w:szCs w:val="28"/>
        </w:rPr>
        <w:t>Adherence to Work Discipline</w:t>
      </w:r>
      <w:r w:rsidRPr="00BB22AE">
        <w:rPr>
          <w:rFonts w:ascii="Times New Roman" w:eastAsia="新細明體" w:hAnsi="Times New Roman" w:cs="Times New Roman"/>
          <w:kern w:val="0"/>
          <w:sz w:val="28"/>
          <w:szCs w:val="28"/>
        </w:rPr>
        <w:t>: Strict adherence to work discipline, respect for team collaboration, proactive attitude, and dedication to duties.</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 xml:space="preserve">(d) </w:t>
      </w:r>
      <w:r w:rsidRPr="00BB22AE">
        <w:rPr>
          <w:rFonts w:ascii="Times New Roman" w:eastAsia="新細明體" w:hAnsi="Times New Roman" w:cs="Times New Roman"/>
          <w:b/>
          <w:bCs/>
          <w:kern w:val="0"/>
          <w:sz w:val="28"/>
          <w:szCs w:val="28"/>
        </w:rPr>
        <w:t>Innovative Thinking in Core Responsibilities</w:t>
      </w:r>
      <w:r w:rsidRPr="00BB22AE">
        <w:rPr>
          <w:rFonts w:ascii="Times New Roman" w:eastAsia="新細明體" w:hAnsi="Times New Roman" w:cs="Times New Roman"/>
          <w:kern w:val="0"/>
          <w:sz w:val="28"/>
          <w:szCs w:val="28"/>
        </w:rPr>
        <w:t>: The ability to think innovatively in core responsibilities and propose specific improvement measures.</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 xml:space="preserve">(e) </w:t>
      </w:r>
      <w:r w:rsidRPr="00BB22AE">
        <w:rPr>
          <w:rFonts w:ascii="Times New Roman" w:eastAsia="新細明體" w:hAnsi="Times New Roman" w:cs="Times New Roman"/>
          <w:b/>
          <w:bCs/>
          <w:kern w:val="0"/>
          <w:sz w:val="28"/>
          <w:szCs w:val="28"/>
        </w:rPr>
        <w:t>Timely Resolution of Incidents or Disaster Response</w:t>
      </w:r>
      <w:r w:rsidRPr="00BB22AE">
        <w:rPr>
          <w:rFonts w:ascii="Times New Roman" w:eastAsia="新細明體" w:hAnsi="Times New Roman" w:cs="Times New Roman"/>
          <w:kern w:val="0"/>
          <w:sz w:val="28"/>
          <w:szCs w:val="28"/>
        </w:rPr>
        <w:t>: Successful resolution of unexpected incidents or significant disaster management with concrete results.</w:t>
      </w:r>
    </w:p>
    <w:p w:rsidR="00BB22AE" w:rsidRPr="00BB22AE" w:rsidRDefault="00BB22AE" w:rsidP="00BB22AE">
      <w:pPr>
        <w:widowControl/>
        <w:spacing w:before="100" w:beforeAutospacing="1" w:after="100" w:afterAutospacing="1"/>
        <w:ind w:left="720"/>
        <w:rPr>
          <w:rFonts w:ascii="Times New Roman" w:eastAsia="新細明體" w:hAnsi="Times New Roman" w:cs="Times New Roman"/>
          <w:kern w:val="0"/>
          <w:sz w:val="28"/>
          <w:szCs w:val="28"/>
        </w:rPr>
      </w:pPr>
      <w:r w:rsidRPr="00BB22AE">
        <w:rPr>
          <w:rFonts w:ascii="Times New Roman" w:eastAsia="新細明體" w:hAnsi="Times New Roman" w:cs="Times New Roman"/>
          <w:kern w:val="0"/>
          <w:sz w:val="28"/>
          <w:szCs w:val="28"/>
        </w:rPr>
        <w:t>(</w:t>
      </w:r>
      <w:proofErr w:type="gramStart"/>
      <w:r w:rsidRPr="00BB22AE">
        <w:rPr>
          <w:rFonts w:ascii="Times New Roman" w:eastAsia="新細明體" w:hAnsi="Times New Roman" w:cs="Times New Roman"/>
          <w:kern w:val="0"/>
          <w:sz w:val="28"/>
          <w:szCs w:val="28"/>
        </w:rPr>
        <w:t>f</w:t>
      </w:r>
      <w:proofErr w:type="gramEnd"/>
      <w:r w:rsidRPr="00BB22AE">
        <w:rPr>
          <w:rFonts w:ascii="Times New Roman" w:eastAsia="新細明體" w:hAnsi="Times New Roman" w:cs="Times New Roman"/>
          <w:kern w:val="0"/>
          <w:sz w:val="28"/>
          <w:szCs w:val="28"/>
        </w:rPr>
        <w:t xml:space="preserve">) </w:t>
      </w:r>
      <w:r w:rsidRPr="00BB22AE">
        <w:rPr>
          <w:rFonts w:ascii="Times New Roman" w:eastAsia="新細明體" w:hAnsi="Times New Roman" w:cs="Times New Roman"/>
          <w:b/>
          <w:bCs/>
          <w:kern w:val="0"/>
          <w:sz w:val="28"/>
          <w:szCs w:val="28"/>
        </w:rPr>
        <w:t>Effective Problem-Solving</w:t>
      </w:r>
      <w:r w:rsidRPr="00BB22AE">
        <w:rPr>
          <w:rFonts w:ascii="Times New Roman" w:eastAsia="新細明體" w:hAnsi="Times New Roman" w:cs="Times New Roman"/>
          <w:kern w:val="0"/>
          <w:sz w:val="28"/>
          <w:szCs w:val="28"/>
        </w:rPr>
        <w:t>: The ability to address major challenges or difficulties by proposing and implementing effective solutions.</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6. Personnel with any of the following circumstances in the current year are ineligible for nomination for rewards:</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w:t>
      </w:r>
      <w:proofErr w:type="gramStart"/>
      <w:r w:rsidRPr="00F67718">
        <w:rPr>
          <w:rFonts w:ascii="Times New Roman" w:eastAsia="新細明體" w:hAnsi="Times New Roman" w:cs="Times New Roman"/>
          <w:kern w:val="0"/>
          <w:sz w:val="28"/>
          <w:szCs w:val="28"/>
        </w:rPr>
        <w:t>a</w:t>
      </w:r>
      <w:proofErr w:type="gramEnd"/>
      <w:r w:rsidRPr="00F67718">
        <w:rPr>
          <w:rFonts w:ascii="Times New Roman" w:eastAsia="新細明體" w:hAnsi="Times New Roman" w:cs="Times New Roman"/>
          <w:kern w:val="0"/>
          <w:sz w:val="28"/>
          <w:szCs w:val="28"/>
        </w:rPr>
        <w:t xml:space="preserve">) </w:t>
      </w:r>
      <w:r w:rsidRPr="00F67718">
        <w:rPr>
          <w:rFonts w:ascii="Times New Roman" w:eastAsia="新細明體" w:hAnsi="Times New Roman" w:cs="Times New Roman"/>
          <w:b/>
          <w:bCs/>
          <w:kern w:val="0"/>
          <w:sz w:val="28"/>
          <w:szCs w:val="28"/>
        </w:rPr>
        <w:t>Annual Performance Rating of Grade B</w:t>
      </w:r>
      <w:r w:rsidRPr="00F67718">
        <w:rPr>
          <w:rFonts w:ascii="Times New Roman" w:eastAsia="新細明體" w:hAnsi="Times New Roman" w:cs="Times New Roman"/>
          <w:kern w:val="0"/>
          <w:sz w:val="28"/>
          <w:szCs w:val="28"/>
        </w:rPr>
        <w:t>: Those who received a B rating in their annual performance evaluation.</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 xml:space="preserve">(b) </w:t>
      </w:r>
      <w:r w:rsidRPr="00F67718">
        <w:rPr>
          <w:rFonts w:ascii="Times New Roman" w:eastAsia="新細明體" w:hAnsi="Times New Roman" w:cs="Times New Roman"/>
          <w:b/>
          <w:bCs/>
          <w:kern w:val="0"/>
          <w:sz w:val="28"/>
          <w:szCs w:val="28"/>
        </w:rPr>
        <w:t>Disciplinary Actions</w:t>
      </w:r>
      <w:r w:rsidRPr="00F67718">
        <w:rPr>
          <w:rFonts w:ascii="Times New Roman" w:eastAsia="新細明體" w:hAnsi="Times New Roman" w:cs="Times New Roman"/>
          <w:kern w:val="0"/>
          <w:sz w:val="28"/>
          <w:szCs w:val="28"/>
        </w:rPr>
        <w:t>: Those who have received a reprimand or more severe disciplinary action.</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 xml:space="preserve">(c) </w:t>
      </w:r>
      <w:r w:rsidRPr="00F67718">
        <w:rPr>
          <w:rFonts w:ascii="Times New Roman" w:eastAsia="新細明體" w:hAnsi="Times New Roman" w:cs="Times New Roman"/>
          <w:b/>
          <w:bCs/>
          <w:kern w:val="0"/>
          <w:sz w:val="28"/>
          <w:szCs w:val="28"/>
        </w:rPr>
        <w:t>Record of Absenteeism</w:t>
      </w:r>
      <w:r w:rsidRPr="00F67718">
        <w:rPr>
          <w:rFonts w:ascii="Times New Roman" w:eastAsia="新細明體" w:hAnsi="Times New Roman" w:cs="Times New Roman"/>
          <w:kern w:val="0"/>
          <w:sz w:val="28"/>
          <w:szCs w:val="28"/>
        </w:rPr>
        <w:t>: Those with a record of unexcused absences.</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w:t>
      </w:r>
      <w:proofErr w:type="gramStart"/>
      <w:r w:rsidRPr="00F67718">
        <w:rPr>
          <w:rFonts w:ascii="Times New Roman" w:eastAsia="新細明體" w:hAnsi="Times New Roman" w:cs="Times New Roman"/>
          <w:kern w:val="0"/>
          <w:sz w:val="28"/>
          <w:szCs w:val="28"/>
        </w:rPr>
        <w:t>d</w:t>
      </w:r>
      <w:proofErr w:type="gramEnd"/>
      <w:r w:rsidRPr="00F67718">
        <w:rPr>
          <w:rFonts w:ascii="Times New Roman" w:eastAsia="新細明體" w:hAnsi="Times New Roman" w:cs="Times New Roman"/>
          <w:kern w:val="0"/>
          <w:sz w:val="28"/>
          <w:szCs w:val="28"/>
        </w:rPr>
        <w:t xml:space="preserve">) </w:t>
      </w:r>
      <w:r w:rsidRPr="00F67718">
        <w:rPr>
          <w:rFonts w:ascii="Times New Roman" w:eastAsia="新細明體" w:hAnsi="Times New Roman" w:cs="Times New Roman"/>
          <w:b/>
          <w:bCs/>
          <w:kern w:val="0"/>
          <w:sz w:val="28"/>
          <w:szCs w:val="28"/>
        </w:rPr>
        <w:t>Excessive Leave</w:t>
      </w:r>
      <w:r w:rsidRPr="00F67718">
        <w:rPr>
          <w:rFonts w:ascii="Times New Roman" w:eastAsia="新細明體" w:hAnsi="Times New Roman" w:cs="Times New Roman"/>
          <w:kern w:val="0"/>
          <w:sz w:val="28"/>
          <w:szCs w:val="28"/>
        </w:rPr>
        <w:t>: Those who have taken more than 14 days of personal or sick leave (excluding family care leave and menstrual leave).</w:t>
      </w:r>
    </w:p>
    <w:p w:rsidR="00F67718" w:rsidRPr="00F67718" w:rsidRDefault="00F67718" w:rsidP="00F67718">
      <w:pPr>
        <w:widowControl/>
        <w:spacing w:before="100" w:beforeAutospacing="1" w:after="100" w:afterAutospacing="1"/>
        <w:rPr>
          <w:rFonts w:ascii="Times New Roman" w:eastAsia="新細明體" w:hAnsi="Times New Roman" w:cs="Times New Roman"/>
          <w:kern w:val="0"/>
          <w:sz w:val="28"/>
          <w:szCs w:val="28"/>
        </w:rPr>
      </w:pPr>
      <w:r w:rsidRPr="00F67718">
        <w:rPr>
          <w:rFonts w:ascii="Times New Roman" w:eastAsia="新細明體" w:hAnsi="Times New Roman" w:cs="Times New Roman"/>
          <w:kern w:val="0"/>
          <w:sz w:val="28"/>
          <w:szCs w:val="28"/>
        </w:rPr>
        <w:t xml:space="preserve">(e) </w:t>
      </w:r>
      <w:r w:rsidRPr="00F67718">
        <w:rPr>
          <w:rFonts w:ascii="Times New Roman" w:eastAsia="新細明體" w:hAnsi="Times New Roman" w:cs="Times New Roman"/>
          <w:b/>
          <w:bCs/>
          <w:kern w:val="0"/>
          <w:sz w:val="28"/>
          <w:szCs w:val="28"/>
        </w:rPr>
        <w:t>Misconduct</w:t>
      </w:r>
      <w:r w:rsidRPr="00F67718">
        <w:rPr>
          <w:rFonts w:ascii="Times New Roman" w:eastAsia="新細明體" w:hAnsi="Times New Roman" w:cs="Times New Roman"/>
          <w:kern w:val="0"/>
          <w:sz w:val="28"/>
          <w:szCs w:val="28"/>
        </w:rPr>
        <w:t>: Those whose behavior is unethical, violates relevant laws or regulations, and severely damages the University's reputation, with confirmed evidence.</w:t>
      </w:r>
    </w:p>
    <w:p w:rsidR="00F67718" w:rsidRDefault="00F67718" w:rsidP="00F67718">
      <w:pPr>
        <w:widowControl/>
        <w:spacing w:before="100" w:beforeAutospacing="1" w:after="100" w:afterAutospacing="1"/>
        <w:rPr>
          <w:rFonts w:ascii="Times New Roman" w:eastAsia="新細明體" w:hAnsi="Times New Roman" w:cs="Times New Roman" w:hint="eastAsia"/>
          <w:kern w:val="0"/>
          <w:sz w:val="28"/>
          <w:szCs w:val="28"/>
        </w:rPr>
      </w:pPr>
      <w:r w:rsidRPr="00F67718">
        <w:rPr>
          <w:rFonts w:ascii="Times New Roman" w:eastAsia="新細明體" w:hAnsi="Times New Roman" w:cs="Times New Roman"/>
          <w:kern w:val="0"/>
          <w:sz w:val="28"/>
          <w:szCs w:val="28"/>
        </w:rPr>
        <w:t xml:space="preserve">(f) </w:t>
      </w:r>
      <w:r w:rsidRPr="00F67718">
        <w:rPr>
          <w:rFonts w:ascii="Times New Roman" w:eastAsia="新細明體" w:hAnsi="Times New Roman" w:cs="Times New Roman"/>
          <w:b/>
          <w:bCs/>
          <w:kern w:val="0"/>
          <w:sz w:val="28"/>
          <w:szCs w:val="28"/>
        </w:rPr>
        <w:t>Poor Job Performance</w:t>
      </w:r>
      <w:r w:rsidRPr="00F67718">
        <w:rPr>
          <w:rFonts w:ascii="Times New Roman" w:eastAsia="新細明體" w:hAnsi="Times New Roman" w:cs="Times New Roman"/>
          <w:kern w:val="0"/>
          <w:sz w:val="28"/>
          <w:szCs w:val="28"/>
        </w:rPr>
        <w:t>: Those who demonstrate poor job performance, neglect their duties, delay public affairs, and cause significant adverse consequences.</w:t>
      </w:r>
    </w:p>
    <w:p w:rsidR="00E726A4" w:rsidRPr="00E726A4" w:rsidRDefault="00E726A4" w:rsidP="00E726A4">
      <w:pPr>
        <w:widowControl/>
        <w:spacing w:before="100" w:beforeAutospacing="1" w:after="100" w:afterAutospacing="1"/>
        <w:rPr>
          <w:rFonts w:ascii="Times New Roman" w:eastAsia="新細明體" w:hAnsi="Times New Roman" w:cs="Times New Roman"/>
          <w:kern w:val="0"/>
          <w:sz w:val="28"/>
          <w:szCs w:val="28"/>
        </w:rPr>
      </w:pPr>
      <w:r w:rsidRPr="00E726A4">
        <w:rPr>
          <w:rFonts w:ascii="Times New Roman" w:eastAsia="新細明體" w:hAnsi="Times New Roman" w:cs="Times New Roman"/>
          <w:kern w:val="0"/>
          <w:sz w:val="28"/>
          <w:szCs w:val="28"/>
        </w:rPr>
        <w:lastRenderedPageBreak/>
        <w:t>7. Specific outstanding achievements within the same year that have already been considered and rewarded through other bonuses provided by the University cannot be rewarded again.</w:t>
      </w:r>
    </w:p>
    <w:p w:rsidR="00E726A4" w:rsidRPr="00E726A4" w:rsidRDefault="00E726A4" w:rsidP="00E726A4">
      <w:pPr>
        <w:widowControl/>
        <w:spacing w:before="100" w:beforeAutospacing="1" w:after="100" w:afterAutospacing="1"/>
        <w:rPr>
          <w:rFonts w:ascii="Times New Roman" w:eastAsia="新細明體" w:hAnsi="Times New Roman" w:cs="Times New Roman"/>
          <w:kern w:val="0"/>
          <w:sz w:val="28"/>
          <w:szCs w:val="28"/>
        </w:rPr>
      </w:pPr>
      <w:r w:rsidRPr="00E726A4">
        <w:rPr>
          <w:rFonts w:ascii="Times New Roman" w:eastAsia="新細明體" w:hAnsi="Times New Roman" w:cs="Times New Roman"/>
          <w:kern w:val="0"/>
          <w:sz w:val="28"/>
          <w:szCs w:val="28"/>
        </w:rPr>
        <w:t>8. This plan is implemented from January to December of the current year. Performance bonuses will be distributed within half a month after the Performance Evaluation Committee completes its review and the University President approves the results.</w:t>
      </w:r>
    </w:p>
    <w:p w:rsidR="00E726A4" w:rsidRPr="00E726A4" w:rsidRDefault="00E726A4" w:rsidP="00E726A4">
      <w:pPr>
        <w:widowControl/>
        <w:spacing w:before="100" w:beforeAutospacing="1" w:after="100" w:afterAutospacing="1"/>
        <w:rPr>
          <w:rFonts w:ascii="Times New Roman" w:eastAsia="新細明體" w:hAnsi="Times New Roman" w:cs="Times New Roman"/>
          <w:kern w:val="0"/>
          <w:sz w:val="28"/>
          <w:szCs w:val="28"/>
        </w:rPr>
      </w:pPr>
      <w:r w:rsidRPr="00E726A4">
        <w:rPr>
          <w:rFonts w:ascii="Times New Roman" w:eastAsia="新細明體" w:hAnsi="Times New Roman" w:cs="Times New Roman"/>
          <w:kern w:val="0"/>
          <w:sz w:val="28"/>
          <w:szCs w:val="28"/>
        </w:rPr>
        <w:t>9. Any matters not covered by this plan shall be handled in accordance with relevant regulations.</w:t>
      </w:r>
    </w:p>
    <w:p w:rsidR="00E726A4" w:rsidRPr="00E726A4" w:rsidRDefault="00E726A4" w:rsidP="00E726A4">
      <w:pPr>
        <w:widowControl/>
        <w:spacing w:before="100" w:beforeAutospacing="1" w:after="100" w:afterAutospacing="1"/>
        <w:rPr>
          <w:rFonts w:ascii="Times New Roman" w:eastAsia="新細明體" w:hAnsi="Times New Roman" w:cs="Times New Roman"/>
          <w:kern w:val="0"/>
          <w:sz w:val="28"/>
          <w:szCs w:val="28"/>
        </w:rPr>
      </w:pPr>
      <w:r w:rsidRPr="00E726A4">
        <w:rPr>
          <w:rFonts w:ascii="Times New Roman" w:eastAsia="新細明體" w:hAnsi="Times New Roman" w:cs="Times New Roman"/>
          <w:kern w:val="0"/>
          <w:sz w:val="28"/>
          <w:szCs w:val="28"/>
        </w:rPr>
        <w:t>10. This plan shall be implemented after being approved by the Administrative Meeting and the School Affairs Fund Management Committee, and subsequently authorized by the University President. The same procedure applies to any amendments.</w:t>
      </w:r>
      <w:bookmarkStart w:id="0" w:name="_GoBack"/>
      <w:bookmarkEnd w:id="0"/>
    </w:p>
    <w:p w:rsidR="00C26FDE" w:rsidRPr="00E726A4" w:rsidRDefault="00C26FDE" w:rsidP="00C26FDE">
      <w:pPr>
        <w:widowControl/>
        <w:spacing w:before="100" w:beforeAutospacing="1" w:after="100" w:afterAutospacing="1"/>
        <w:ind w:left="360"/>
        <w:rPr>
          <w:rFonts w:ascii="Times New Roman" w:eastAsia="新細明體" w:hAnsi="Times New Roman" w:cs="Times New Roman"/>
          <w:kern w:val="0"/>
          <w:sz w:val="28"/>
          <w:szCs w:val="28"/>
        </w:rPr>
      </w:pPr>
    </w:p>
    <w:sectPr w:rsidR="00C26FDE" w:rsidRPr="00E726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68"/>
    <w:multiLevelType w:val="multilevel"/>
    <w:tmpl w:val="5A32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D22A4"/>
    <w:multiLevelType w:val="multilevel"/>
    <w:tmpl w:val="510CB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C70F6"/>
    <w:multiLevelType w:val="multilevel"/>
    <w:tmpl w:val="A572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52DCC"/>
    <w:multiLevelType w:val="multilevel"/>
    <w:tmpl w:val="3C04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3F"/>
    <w:rsid w:val="001C6E29"/>
    <w:rsid w:val="002D6C4A"/>
    <w:rsid w:val="003564A4"/>
    <w:rsid w:val="005505C2"/>
    <w:rsid w:val="006C013F"/>
    <w:rsid w:val="007C7428"/>
    <w:rsid w:val="00BB22AE"/>
    <w:rsid w:val="00C26FDE"/>
    <w:rsid w:val="00E726A4"/>
    <w:rsid w:val="00F67718"/>
    <w:rsid w:val="00FB3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013F"/>
    <w:pPr>
      <w:widowControl/>
      <w:spacing w:before="100" w:beforeAutospacing="1" w:after="100" w:afterAutospacing="1"/>
    </w:pPr>
    <w:rPr>
      <w:rFonts w:ascii="新細明體" w:eastAsia="新細明體" w:hAnsi="新細明體" w:cs="新細明體"/>
      <w:kern w:val="0"/>
      <w:szCs w:val="24"/>
    </w:rPr>
  </w:style>
  <w:style w:type="character" w:customStyle="1" w:styleId="overflow-hidden">
    <w:name w:val="overflow-hidden"/>
    <w:basedOn w:val="a0"/>
    <w:rsid w:val="006C013F"/>
  </w:style>
  <w:style w:type="character" w:styleId="a3">
    <w:name w:val="Strong"/>
    <w:basedOn w:val="a0"/>
    <w:uiPriority w:val="22"/>
    <w:qFormat/>
    <w:rsid w:val="001C6E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013F"/>
    <w:pPr>
      <w:widowControl/>
      <w:spacing w:before="100" w:beforeAutospacing="1" w:after="100" w:afterAutospacing="1"/>
    </w:pPr>
    <w:rPr>
      <w:rFonts w:ascii="新細明體" w:eastAsia="新細明體" w:hAnsi="新細明體" w:cs="新細明體"/>
      <w:kern w:val="0"/>
      <w:szCs w:val="24"/>
    </w:rPr>
  </w:style>
  <w:style w:type="character" w:customStyle="1" w:styleId="overflow-hidden">
    <w:name w:val="overflow-hidden"/>
    <w:basedOn w:val="a0"/>
    <w:rsid w:val="006C013F"/>
  </w:style>
  <w:style w:type="character" w:styleId="a3">
    <w:name w:val="Strong"/>
    <w:basedOn w:val="a0"/>
    <w:uiPriority w:val="22"/>
    <w:qFormat/>
    <w:rsid w:val="001C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638">
      <w:bodyDiv w:val="1"/>
      <w:marLeft w:val="0"/>
      <w:marRight w:val="0"/>
      <w:marTop w:val="0"/>
      <w:marBottom w:val="0"/>
      <w:divBdr>
        <w:top w:val="none" w:sz="0" w:space="0" w:color="auto"/>
        <w:left w:val="none" w:sz="0" w:space="0" w:color="auto"/>
        <w:bottom w:val="none" w:sz="0" w:space="0" w:color="auto"/>
        <w:right w:val="none" w:sz="0" w:space="0" w:color="auto"/>
      </w:divBdr>
      <w:divsChild>
        <w:div w:id="1793208744">
          <w:marLeft w:val="0"/>
          <w:marRight w:val="0"/>
          <w:marTop w:val="0"/>
          <w:marBottom w:val="0"/>
          <w:divBdr>
            <w:top w:val="none" w:sz="0" w:space="0" w:color="auto"/>
            <w:left w:val="none" w:sz="0" w:space="0" w:color="auto"/>
            <w:bottom w:val="none" w:sz="0" w:space="0" w:color="auto"/>
            <w:right w:val="none" w:sz="0" w:space="0" w:color="auto"/>
          </w:divBdr>
          <w:divsChild>
            <w:div w:id="720984156">
              <w:marLeft w:val="0"/>
              <w:marRight w:val="0"/>
              <w:marTop w:val="0"/>
              <w:marBottom w:val="0"/>
              <w:divBdr>
                <w:top w:val="none" w:sz="0" w:space="0" w:color="auto"/>
                <w:left w:val="none" w:sz="0" w:space="0" w:color="auto"/>
                <w:bottom w:val="none" w:sz="0" w:space="0" w:color="auto"/>
                <w:right w:val="none" w:sz="0" w:space="0" w:color="auto"/>
              </w:divBdr>
              <w:divsChild>
                <w:div w:id="688987633">
                  <w:marLeft w:val="0"/>
                  <w:marRight w:val="0"/>
                  <w:marTop w:val="0"/>
                  <w:marBottom w:val="0"/>
                  <w:divBdr>
                    <w:top w:val="none" w:sz="0" w:space="0" w:color="auto"/>
                    <w:left w:val="none" w:sz="0" w:space="0" w:color="auto"/>
                    <w:bottom w:val="none" w:sz="0" w:space="0" w:color="auto"/>
                    <w:right w:val="none" w:sz="0" w:space="0" w:color="auto"/>
                  </w:divBdr>
                  <w:divsChild>
                    <w:div w:id="136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962">
          <w:marLeft w:val="0"/>
          <w:marRight w:val="0"/>
          <w:marTop w:val="0"/>
          <w:marBottom w:val="0"/>
          <w:divBdr>
            <w:top w:val="none" w:sz="0" w:space="0" w:color="auto"/>
            <w:left w:val="none" w:sz="0" w:space="0" w:color="auto"/>
            <w:bottom w:val="none" w:sz="0" w:space="0" w:color="auto"/>
            <w:right w:val="none" w:sz="0" w:space="0" w:color="auto"/>
          </w:divBdr>
          <w:divsChild>
            <w:div w:id="1542862492">
              <w:marLeft w:val="0"/>
              <w:marRight w:val="0"/>
              <w:marTop w:val="0"/>
              <w:marBottom w:val="0"/>
              <w:divBdr>
                <w:top w:val="none" w:sz="0" w:space="0" w:color="auto"/>
                <w:left w:val="none" w:sz="0" w:space="0" w:color="auto"/>
                <w:bottom w:val="none" w:sz="0" w:space="0" w:color="auto"/>
                <w:right w:val="none" w:sz="0" w:space="0" w:color="auto"/>
              </w:divBdr>
              <w:divsChild>
                <w:div w:id="1166091302">
                  <w:marLeft w:val="0"/>
                  <w:marRight w:val="0"/>
                  <w:marTop w:val="0"/>
                  <w:marBottom w:val="0"/>
                  <w:divBdr>
                    <w:top w:val="none" w:sz="0" w:space="0" w:color="auto"/>
                    <w:left w:val="none" w:sz="0" w:space="0" w:color="auto"/>
                    <w:bottom w:val="none" w:sz="0" w:space="0" w:color="auto"/>
                    <w:right w:val="none" w:sz="0" w:space="0" w:color="auto"/>
                  </w:divBdr>
                  <w:divsChild>
                    <w:div w:id="1696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3061">
      <w:bodyDiv w:val="1"/>
      <w:marLeft w:val="0"/>
      <w:marRight w:val="0"/>
      <w:marTop w:val="0"/>
      <w:marBottom w:val="0"/>
      <w:divBdr>
        <w:top w:val="none" w:sz="0" w:space="0" w:color="auto"/>
        <w:left w:val="none" w:sz="0" w:space="0" w:color="auto"/>
        <w:bottom w:val="none" w:sz="0" w:space="0" w:color="auto"/>
        <w:right w:val="none" w:sz="0" w:space="0" w:color="auto"/>
      </w:divBdr>
    </w:div>
    <w:div w:id="253444285">
      <w:bodyDiv w:val="1"/>
      <w:marLeft w:val="0"/>
      <w:marRight w:val="0"/>
      <w:marTop w:val="0"/>
      <w:marBottom w:val="0"/>
      <w:divBdr>
        <w:top w:val="none" w:sz="0" w:space="0" w:color="auto"/>
        <w:left w:val="none" w:sz="0" w:space="0" w:color="auto"/>
        <w:bottom w:val="none" w:sz="0" w:space="0" w:color="auto"/>
        <w:right w:val="none" w:sz="0" w:space="0" w:color="auto"/>
      </w:divBdr>
    </w:div>
    <w:div w:id="13981699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948">
          <w:marLeft w:val="0"/>
          <w:marRight w:val="0"/>
          <w:marTop w:val="0"/>
          <w:marBottom w:val="0"/>
          <w:divBdr>
            <w:top w:val="none" w:sz="0" w:space="0" w:color="auto"/>
            <w:left w:val="none" w:sz="0" w:space="0" w:color="auto"/>
            <w:bottom w:val="none" w:sz="0" w:space="0" w:color="auto"/>
            <w:right w:val="none" w:sz="0" w:space="0" w:color="auto"/>
          </w:divBdr>
          <w:divsChild>
            <w:div w:id="1991132054">
              <w:marLeft w:val="0"/>
              <w:marRight w:val="0"/>
              <w:marTop w:val="0"/>
              <w:marBottom w:val="0"/>
              <w:divBdr>
                <w:top w:val="none" w:sz="0" w:space="0" w:color="auto"/>
                <w:left w:val="none" w:sz="0" w:space="0" w:color="auto"/>
                <w:bottom w:val="none" w:sz="0" w:space="0" w:color="auto"/>
                <w:right w:val="none" w:sz="0" w:space="0" w:color="auto"/>
              </w:divBdr>
              <w:divsChild>
                <w:div w:id="1868132823">
                  <w:marLeft w:val="0"/>
                  <w:marRight w:val="0"/>
                  <w:marTop w:val="0"/>
                  <w:marBottom w:val="0"/>
                  <w:divBdr>
                    <w:top w:val="none" w:sz="0" w:space="0" w:color="auto"/>
                    <w:left w:val="none" w:sz="0" w:space="0" w:color="auto"/>
                    <w:bottom w:val="none" w:sz="0" w:space="0" w:color="auto"/>
                    <w:right w:val="none" w:sz="0" w:space="0" w:color="auto"/>
                  </w:divBdr>
                  <w:divsChild>
                    <w:div w:id="14286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3905">
          <w:marLeft w:val="0"/>
          <w:marRight w:val="0"/>
          <w:marTop w:val="0"/>
          <w:marBottom w:val="0"/>
          <w:divBdr>
            <w:top w:val="none" w:sz="0" w:space="0" w:color="auto"/>
            <w:left w:val="none" w:sz="0" w:space="0" w:color="auto"/>
            <w:bottom w:val="none" w:sz="0" w:space="0" w:color="auto"/>
            <w:right w:val="none" w:sz="0" w:space="0" w:color="auto"/>
          </w:divBdr>
          <w:divsChild>
            <w:div w:id="14040926">
              <w:marLeft w:val="0"/>
              <w:marRight w:val="0"/>
              <w:marTop w:val="0"/>
              <w:marBottom w:val="0"/>
              <w:divBdr>
                <w:top w:val="none" w:sz="0" w:space="0" w:color="auto"/>
                <w:left w:val="none" w:sz="0" w:space="0" w:color="auto"/>
                <w:bottom w:val="none" w:sz="0" w:space="0" w:color="auto"/>
                <w:right w:val="none" w:sz="0" w:space="0" w:color="auto"/>
              </w:divBdr>
              <w:divsChild>
                <w:div w:id="6911234">
                  <w:marLeft w:val="0"/>
                  <w:marRight w:val="0"/>
                  <w:marTop w:val="0"/>
                  <w:marBottom w:val="0"/>
                  <w:divBdr>
                    <w:top w:val="none" w:sz="0" w:space="0" w:color="auto"/>
                    <w:left w:val="none" w:sz="0" w:space="0" w:color="auto"/>
                    <w:bottom w:val="none" w:sz="0" w:space="0" w:color="auto"/>
                    <w:right w:val="none" w:sz="0" w:space="0" w:color="auto"/>
                  </w:divBdr>
                  <w:divsChild>
                    <w:div w:id="242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3671">
      <w:bodyDiv w:val="1"/>
      <w:marLeft w:val="0"/>
      <w:marRight w:val="0"/>
      <w:marTop w:val="0"/>
      <w:marBottom w:val="0"/>
      <w:divBdr>
        <w:top w:val="none" w:sz="0" w:space="0" w:color="auto"/>
        <w:left w:val="none" w:sz="0" w:space="0" w:color="auto"/>
        <w:bottom w:val="none" w:sz="0" w:space="0" w:color="auto"/>
        <w:right w:val="none" w:sz="0" w:space="0" w:color="auto"/>
      </w:divBdr>
      <w:divsChild>
        <w:div w:id="56706137">
          <w:marLeft w:val="0"/>
          <w:marRight w:val="0"/>
          <w:marTop w:val="0"/>
          <w:marBottom w:val="0"/>
          <w:divBdr>
            <w:top w:val="none" w:sz="0" w:space="0" w:color="auto"/>
            <w:left w:val="none" w:sz="0" w:space="0" w:color="auto"/>
            <w:bottom w:val="none" w:sz="0" w:space="0" w:color="auto"/>
            <w:right w:val="none" w:sz="0" w:space="0" w:color="auto"/>
          </w:divBdr>
          <w:divsChild>
            <w:div w:id="402528474">
              <w:marLeft w:val="0"/>
              <w:marRight w:val="0"/>
              <w:marTop w:val="0"/>
              <w:marBottom w:val="0"/>
              <w:divBdr>
                <w:top w:val="none" w:sz="0" w:space="0" w:color="auto"/>
                <w:left w:val="none" w:sz="0" w:space="0" w:color="auto"/>
                <w:bottom w:val="none" w:sz="0" w:space="0" w:color="auto"/>
                <w:right w:val="none" w:sz="0" w:space="0" w:color="auto"/>
              </w:divBdr>
              <w:divsChild>
                <w:div w:id="1014040510">
                  <w:marLeft w:val="0"/>
                  <w:marRight w:val="0"/>
                  <w:marTop w:val="0"/>
                  <w:marBottom w:val="0"/>
                  <w:divBdr>
                    <w:top w:val="none" w:sz="0" w:space="0" w:color="auto"/>
                    <w:left w:val="none" w:sz="0" w:space="0" w:color="auto"/>
                    <w:bottom w:val="none" w:sz="0" w:space="0" w:color="auto"/>
                    <w:right w:val="none" w:sz="0" w:space="0" w:color="auto"/>
                  </w:divBdr>
                  <w:divsChild>
                    <w:div w:id="3900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5343">
          <w:marLeft w:val="0"/>
          <w:marRight w:val="0"/>
          <w:marTop w:val="0"/>
          <w:marBottom w:val="0"/>
          <w:divBdr>
            <w:top w:val="none" w:sz="0" w:space="0" w:color="auto"/>
            <w:left w:val="none" w:sz="0" w:space="0" w:color="auto"/>
            <w:bottom w:val="none" w:sz="0" w:space="0" w:color="auto"/>
            <w:right w:val="none" w:sz="0" w:space="0" w:color="auto"/>
          </w:divBdr>
          <w:divsChild>
            <w:div w:id="1776245170">
              <w:marLeft w:val="0"/>
              <w:marRight w:val="0"/>
              <w:marTop w:val="0"/>
              <w:marBottom w:val="0"/>
              <w:divBdr>
                <w:top w:val="none" w:sz="0" w:space="0" w:color="auto"/>
                <w:left w:val="none" w:sz="0" w:space="0" w:color="auto"/>
                <w:bottom w:val="none" w:sz="0" w:space="0" w:color="auto"/>
                <w:right w:val="none" w:sz="0" w:space="0" w:color="auto"/>
              </w:divBdr>
              <w:divsChild>
                <w:div w:id="386488352">
                  <w:marLeft w:val="0"/>
                  <w:marRight w:val="0"/>
                  <w:marTop w:val="0"/>
                  <w:marBottom w:val="0"/>
                  <w:divBdr>
                    <w:top w:val="none" w:sz="0" w:space="0" w:color="auto"/>
                    <w:left w:val="none" w:sz="0" w:space="0" w:color="auto"/>
                    <w:bottom w:val="none" w:sz="0" w:space="0" w:color="auto"/>
                    <w:right w:val="none" w:sz="0" w:space="0" w:color="auto"/>
                  </w:divBdr>
                  <w:divsChild>
                    <w:div w:id="7059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2096">
      <w:bodyDiv w:val="1"/>
      <w:marLeft w:val="0"/>
      <w:marRight w:val="0"/>
      <w:marTop w:val="0"/>
      <w:marBottom w:val="0"/>
      <w:divBdr>
        <w:top w:val="none" w:sz="0" w:space="0" w:color="auto"/>
        <w:left w:val="none" w:sz="0" w:space="0" w:color="auto"/>
        <w:bottom w:val="none" w:sz="0" w:space="0" w:color="auto"/>
        <w:right w:val="none" w:sz="0" w:space="0" w:color="auto"/>
      </w:divBdr>
    </w:div>
    <w:div w:id="1819300791">
      <w:bodyDiv w:val="1"/>
      <w:marLeft w:val="0"/>
      <w:marRight w:val="0"/>
      <w:marTop w:val="0"/>
      <w:marBottom w:val="0"/>
      <w:divBdr>
        <w:top w:val="none" w:sz="0" w:space="0" w:color="auto"/>
        <w:left w:val="none" w:sz="0" w:space="0" w:color="auto"/>
        <w:bottom w:val="none" w:sz="0" w:space="0" w:color="auto"/>
        <w:right w:val="none" w:sz="0" w:space="0" w:color="auto"/>
      </w:divBdr>
    </w:div>
    <w:div w:id="18372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10</cp:revision>
  <dcterms:created xsi:type="dcterms:W3CDTF">2024-08-08T01:47:00Z</dcterms:created>
  <dcterms:modified xsi:type="dcterms:W3CDTF">2024-08-08T02:42:00Z</dcterms:modified>
</cp:coreProperties>
</file>