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A6" w:rsidRDefault="00FC01AE">
      <w:pPr>
        <w:keepNext/>
        <w:tabs>
          <w:tab w:val="left" w:pos="5400"/>
        </w:tabs>
        <w:snapToGrid w:val="0"/>
        <w:spacing w:after="360"/>
        <w:jc w:val="center"/>
        <w:outlineLvl w:val="2"/>
        <w:rPr>
          <w:rFonts w:ascii="標楷體" w:eastAsia="標楷體" w:hAnsi="標楷體"/>
          <w:sz w:val="32"/>
          <w:szCs w:val="32"/>
        </w:rPr>
      </w:pPr>
      <w:r>
        <w:rPr>
          <w:rFonts w:ascii="標楷體" w:eastAsia="標楷體" w:hAnsi="標楷體"/>
          <w:sz w:val="32"/>
          <w:szCs w:val="32"/>
        </w:rPr>
        <w:t>國立彰化師範大學教師</w:t>
      </w:r>
      <w:proofErr w:type="gramStart"/>
      <w:r>
        <w:rPr>
          <w:rFonts w:ascii="標楷體" w:eastAsia="標楷體" w:hAnsi="標楷體"/>
          <w:sz w:val="32"/>
          <w:szCs w:val="32"/>
        </w:rPr>
        <w:t>聘任暨升等</w:t>
      </w:r>
      <w:proofErr w:type="gramEnd"/>
      <w:r>
        <w:rPr>
          <w:rFonts w:ascii="標楷體" w:eastAsia="標楷體" w:hAnsi="標楷體"/>
          <w:sz w:val="32"/>
          <w:szCs w:val="32"/>
        </w:rPr>
        <w:t>審查準則</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89.04.12</w:t>
      </w:r>
      <w:r>
        <w:rPr>
          <w:rFonts w:ascii="Times New Roman" w:eastAsia="標楷體" w:hAnsi="Times New Roman"/>
          <w:sz w:val="20"/>
          <w:szCs w:val="20"/>
        </w:rPr>
        <w:t>本校行政會議修正通過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89.12.06</w:t>
      </w:r>
      <w:r>
        <w:rPr>
          <w:rFonts w:ascii="Times New Roman" w:eastAsia="標楷體" w:hAnsi="Times New Roman"/>
          <w:sz w:val="20"/>
          <w:szCs w:val="20"/>
        </w:rPr>
        <w:t>本校行政會議修正第七點</w:t>
      </w:r>
      <w:proofErr w:type="gramStart"/>
      <w:r>
        <w:rPr>
          <w:rFonts w:ascii="Times New Roman" w:eastAsia="標楷體" w:hAnsi="Times New Roman"/>
          <w:sz w:val="20"/>
          <w:szCs w:val="20"/>
        </w:rPr>
        <w:t>﹑</w:t>
      </w:r>
      <w:proofErr w:type="gramEnd"/>
      <w:r>
        <w:rPr>
          <w:rFonts w:ascii="Times New Roman" w:eastAsia="標楷體" w:hAnsi="Times New Roman"/>
          <w:sz w:val="20"/>
          <w:szCs w:val="20"/>
        </w:rPr>
        <w:t>第十九點﹑第二十點﹑第二十一點通過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90.04.11</w:t>
      </w:r>
      <w:r>
        <w:rPr>
          <w:rFonts w:ascii="Times New Roman" w:eastAsia="標楷體" w:hAnsi="Times New Roman"/>
          <w:sz w:val="20"/>
          <w:szCs w:val="20"/>
        </w:rPr>
        <w:t>本校行政會議修正第十點、第二十點通過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91.05.07</w:t>
      </w:r>
      <w:r>
        <w:rPr>
          <w:rFonts w:ascii="Times New Roman" w:eastAsia="標楷體" w:hAnsi="Times New Roman"/>
          <w:sz w:val="20"/>
          <w:szCs w:val="20"/>
        </w:rPr>
        <w:t>本校行政會議修正第二十點通過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93.09.08</w:t>
      </w:r>
      <w:r>
        <w:rPr>
          <w:rFonts w:ascii="Times New Roman" w:eastAsia="標楷體" w:hAnsi="Times New Roman"/>
          <w:sz w:val="20"/>
          <w:szCs w:val="20"/>
        </w:rPr>
        <w:t>本校行政會議部份條文修正通過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94.04.06</w:t>
      </w:r>
      <w:r>
        <w:rPr>
          <w:rFonts w:ascii="Times New Roman" w:eastAsia="標楷體" w:hAnsi="Times New Roman"/>
          <w:sz w:val="20"/>
          <w:szCs w:val="20"/>
        </w:rPr>
        <w:t>本校行政會議修正第三點通過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95.03.01</w:t>
      </w:r>
      <w:r>
        <w:rPr>
          <w:rFonts w:ascii="Times New Roman" w:eastAsia="標楷體" w:hAnsi="Times New Roman"/>
          <w:sz w:val="20"/>
          <w:szCs w:val="20"/>
        </w:rPr>
        <w:t>本校行政會議修正第三點、第四點</w:t>
      </w:r>
      <w:proofErr w:type="gramStart"/>
      <w:r>
        <w:rPr>
          <w:rFonts w:ascii="Times New Roman" w:eastAsia="標楷體" w:hAnsi="Times New Roman"/>
          <w:sz w:val="20"/>
          <w:szCs w:val="20"/>
        </w:rPr>
        <w:t>﹑</w:t>
      </w:r>
      <w:proofErr w:type="gramEnd"/>
      <w:r>
        <w:rPr>
          <w:rFonts w:ascii="Times New Roman" w:eastAsia="標楷體" w:hAnsi="Times New Roman"/>
          <w:sz w:val="20"/>
          <w:szCs w:val="20"/>
        </w:rPr>
        <w:t>第十點﹑第十六點﹑第十八點通過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95.11.01</w:t>
      </w:r>
      <w:r>
        <w:rPr>
          <w:rFonts w:ascii="Times New Roman" w:eastAsia="標楷體" w:hAnsi="Times New Roman"/>
          <w:sz w:val="20"/>
          <w:szCs w:val="20"/>
        </w:rPr>
        <w:t>本校行政會議修正第四點、第五點、第六點、第八點、第九點、第十一點通過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96.06.06</w:t>
      </w:r>
      <w:r>
        <w:rPr>
          <w:rFonts w:ascii="Times New Roman" w:eastAsia="標楷體" w:hAnsi="Times New Roman"/>
          <w:sz w:val="20"/>
          <w:szCs w:val="20"/>
        </w:rPr>
        <w:t>本校行政會議修正第十點、第十八點通過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97.06.04</w:t>
      </w:r>
      <w:r>
        <w:rPr>
          <w:rFonts w:ascii="Times New Roman" w:eastAsia="標楷體" w:hAnsi="Times New Roman"/>
          <w:sz w:val="20"/>
          <w:szCs w:val="20"/>
        </w:rPr>
        <w:t>本校行政會議增訂第十九點，修正第十點、第十八點、第二十點、第二十一點、第二十二點通過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98.06.03</w:t>
      </w:r>
      <w:r>
        <w:rPr>
          <w:rFonts w:ascii="Times New Roman" w:eastAsia="標楷體" w:hAnsi="Times New Roman"/>
          <w:sz w:val="20"/>
          <w:szCs w:val="20"/>
        </w:rPr>
        <w:t>本校行政會議增訂第十九點，修正第三點、第十三點、第十八點、第二十點、第二十一點、第二十二點、第二十三點通過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98.06.17</w:t>
      </w:r>
      <w:r>
        <w:rPr>
          <w:rFonts w:ascii="Times New Roman" w:eastAsia="標楷體" w:hAnsi="Times New Roman"/>
          <w:sz w:val="20"/>
          <w:szCs w:val="20"/>
        </w:rPr>
        <w:t>本校校務會議增訂第十九點，修正第三點、第十三點、第十八點、第二十點、第二十一點、第二十二點、第二十三點通過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99.06.09</w:t>
      </w:r>
      <w:r>
        <w:rPr>
          <w:rFonts w:ascii="Times New Roman" w:eastAsia="標楷體" w:hAnsi="Times New Roman"/>
          <w:sz w:val="20"/>
          <w:szCs w:val="20"/>
        </w:rPr>
        <w:t>本校校務會議修正第五點通過</w:t>
      </w:r>
    </w:p>
    <w:p w:rsidR="002B67A6" w:rsidRDefault="00FC01AE">
      <w:pPr>
        <w:pStyle w:val="ac"/>
        <w:numPr>
          <w:ilvl w:val="8"/>
          <w:numId w:val="1"/>
        </w:numPr>
        <w:spacing w:line="300" w:lineRule="exact"/>
        <w:ind w:left="4074" w:hanging="234"/>
        <w:jc w:val="both"/>
        <w:rPr>
          <w:rFonts w:ascii="Times New Roman" w:eastAsia="標楷體" w:hAnsi="Times New Roman"/>
          <w:sz w:val="20"/>
          <w:szCs w:val="20"/>
        </w:rPr>
      </w:pPr>
      <w:r>
        <w:rPr>
          <w:rFonts w:ascii="Times New Roman" w:eastAsia="標楷體" w:hAnsi="Times New Roman"/>
          <w:sz w:val="20"/>
          <w:szCs w:val="20"/>
        </w:rPr>
        <w:t>100.06.15</w:t>
      </w:r>
      <w:r>
        <w:rPr>
          <w:rFonts w:ascii="Times New Roman" w:eastAsia="標楷體" w:hAnsi="Times New Roman"/>
          <w:sz w:val="20"/>
          <w:szCs w:val="20"/>
        </w:rPr>
        <w:t>本校校務會議修正第五點通過</w:t>
      </w:r>
    </w:p>
    <w:p w:rsidR="002B67A6" w:rsidRDefault="00FC01AE">
      <w:pPr>
        <w:pStyle w:val="ac"/>
        <w:numPr>
          <w:ilvl w:val="8"/>
          <w:numId w:val="1"/>
        </w:numPr>
        <w:spacing w:line="300" w:lineRule="exact"/>
        <w:ind w:left="4074" w:hanging="234"/>
        <w:jc w:val="both"/>
      </w:pPr>
      <w:r>
        <w:rPr>
          <w:rFonts w:ascii="Times New Roman" w:eastAsia="標楷體" w:hAnsi="Times New Roman"/>
          <w:kern w:val="0"/>
          <w:sz w:val="20"/>
        </w:rPr>
        <w:t>103.06.18</w:t>
      </w:r>
      <w:r>
        <w:rPr>
          <w:rFonts w:ascii="Times New Roman" w:eastAsia="標楷體" w:hAnsi="Times New Roman"/>
          <w:kern w:val="0"/>
          <w:sz w:val="20"/>
        </w:rPr>
        <w:t>本校</w:t>
      </w:r>
      <w:r>
        <w:rPr>
          <w:rFonts w:ascii="Times New Roman" w:eastAsia="標楷體" w:hAnsi="Times New Roman"/>
          <w:kern w:val="0"/>
          <w:sz w:val="20"/>
          <w:szCs w:val="20"/>
        </w:rPr>
        <w:t>1</w:t>
      </w:r>
      <w:r>
        <w:rPr>
          <w:rFonts w:ascii="Times New Roman" w:eastAsia="標楷體" w:hAnsi="Times New Roman"/>
          <w:sz w:val="20"/>
          <w:szCs w:val="20"/>
        </w:rPr>
        <w:t>02</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學期校務會議修正第三點、第四點、第六點、第七點、第八點、第九點、第十點、第十一點、第十二點、第十四點、第十五點、第十六點及第二十九點通過</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103.12.24</w:t>
      </w:r>
      <w:r>
        <w:rPr>
          <w:rFonts w:ascii="Times New Roman" w:eastAsia="標楷體" w:hAnsi="Times New Roman"/>
          <w:sz w:val="20"/>
          <w:szCs w:val="20"/>
        </w:rPr>
        <w:t>本校</w:t>
      </w:r>
      <w:r>
        <w:rPr>
          <w:rFonts w:ascii="Times New Roman" w:eastAsia="標楷體" w:hAnsi="Times New Roman"/>
          <w:sz w:val="20"/>
          <w:szCs w:val="20"/>
        </w:rPr>
        <w:t>103</w:t>
      </w:r>
      <w:r>
        <w:rPr>
          <w:rFonts w:ascii="Times New Roman" w:eastAsia="標楷體" w:hAnsi="Times New Roman"/>
          <w:sz w:val="20"/>
          <w:szCs w:val="20"/>
        </w:rPr>
        <w:t>學年度第</w:t>
      </w:r>
      <w:r>
        <w:rPr>
          <w:rFonts w:ascii="Times New Roman" w:eastAsia="標楷體" w:hAnsi="Times New Roman"/>
          <w:sz w:val="20"/>
          <w:szCs w:val="20"/>
        </w:rPr>
        <w:t>1</w:t>
      </w:r>
      <w:r>
        <w:rPr>
          <w:rFonts w:ascii="Times New Roman" w:eastAsia="標楷體" w:hAnsi="Times New Roman"/>
          <w:sz w:val="20"/>
          <w:szCs w:val="20"/>
        </w:rPr>
        <w:t>學期校務會議修正通過第</w:t>
      </w:r>
      <w:r>
        <w:rPr>
          <w:rFonts w:ascii="Times New Roman" w:eastAsia="標楷體" w:hAnsi="Times New Roman"/>
          <w:sz w:val="20"/>
          <w:szCs w:val="20"/>
        </w:rPr>
        <w:t>6</w:t>
      </w:r>
      <w:r>
        <w:rPr>
          <w:rFonts w:ascii="Times New Roman" w:eastAsia="標楷體" w:hAnsi="Times New Roman"/>
          <w:sz w:val="20"/>
          <w:szCs w:val="20"/>
        </w:rPr>
        <w:t>點、第</w:t>
      </w:r>
      <w:r>
        <w:rPr>
          <w:rFonts w:ascii="Times New Roman" w:eastAsia="標楷體" w:hAnsi="Times New Roman"/>
          <w:sz w:val="20"/>
          <w:szCs w:val="20"/>
        </w:rPr>
        <w:t>12</w:t>
      </w:r>
      <w:r>
        <w:rPr>
          <w:rFonts w:ascii="Times New Roman" w:eastAsia="標楷體" w:hAnsi="Times New Roman"/>
          <w:sz w:val="20"/>
          <w:szCs w:val="20"/>
        </w:rPr>
        <w:t>點及升等評鑑表</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104.06.17</w:t>
      </w:r>
      <w:r>
        <w:rPr>
          <w:rFonts w:ascii="Times New Roman" w:eastAsia="標楷體" w:hAnsi="Times New Roman"/>
          <w:sz w:val="20"/>
          <w:szCs w:val="20"/>
        </w:rPr>
        <w:t>本校</w:t>
      </w:r>
      <w:r>
        <w:rPr>
          <w:rFonts w:ascii="Times New Roman" w:eastAsia="標楷體" w:hAnsi="Times New Roman"/>
          <w:sz w:val="20"/>
          <w:szCs w:val="20"/>
        </w:rPr>
        <w:t>103</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學期校務會議修正通過第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6</w:t>
      </w:r>
      <w:r>
        <w:rPr>
          <w:rFonts w:ascii="Times New Roman" w:eastAsia="標楷體" w:hAnsi="Times New Roman"/>
          <w:sz w:val="20"/>
          <w:szCs w:val="20"/>
        </w:rPr>
        <w:t>點、第</w:t>
      </w:r>
      <w:r>
        <w:rPr>
          <w:rFonts w:ascii="Times New Roman" w:eastAsia="標楷體" w:hAnsi="Times New Roman"/>
          <w:sz w:val="20"/>
          <w:szCs w:val="20"/>
        </w:rPr>
        <w:t>7</w:t>
      </w:r>
      <w:r>
        <w:rPr>
          <w:rFonts w:ascii="Times New Roman" w:eastAsia="標楷體" w:hAnsi="Times New Roman"/>
          <w:sz w:val="20"/>
          <w:szCs w:val="20"/>
        </w:rPr>
        <w:t>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9</w:t>
      </w:r>
      <w:r>
        <w:rPr>
          <w:rFonts w:ascii="Times New Roman" w:eastAsia="標楷體" w:hAnsi="Times New Roman"/>
          <w:sz w:val="20"/>
          <w:szCs w:val="20"/>
        </w:rPr>
        <w:t>點、第</w:t>
      </w:r>
      <w:r>
        <w:rPr>
          <w:rFonts w:ascii="Times New Roman" w:eastAsia="標楷體" w:hAnsi="Times New Roman"/>
          <w:sz w:val="20"/>
          <w:szCs w:val="20"/>
        </w:rPr>
        <w:t>10</w:t>
      </w:r>
      <w:r>
        <w:rPr>
          <w:rFonts w:ascii="Times New Roman" w:eastAsia="標楷體" w:hAnsi="Times New Roman"/>
          <w:sz w:val="20"/>
          <w:szCs w:val="20"/>
        </w:rPr>
        <w:t>點、第</w:t>
      </w:r>
      <w:r>
        <w:rPr>
          <w:rFonts w:ascii="Times New Roman" w:eastAsia="標楷體" w:hAnsi="Times New Roman"/>
          <w:sz w:val="20"/>
          <w:szCs w:val="20"/>
        </w:rPr>
        <w:t>16</w:t>
      </w:r>
      <w:r>
        <w:rPr>
          <w:rFonts w:ascii="Times New Roman" w:eastAsia="標楷體" w:hAnsi="Times New Roman"/>
          <w:sz w:val="20"/>
          <w:szCs w:val="20"/>
        </w:rPr>
        <w:t>點、第</w:t>
      </w:r>
      <w:r>
        <w:rPr>
          <w:rFonts w:ascii="Times New Roman" w:eastAsia="標楷體" w:hAnsi="Times New Roman"/>
          <w:sz w:val="20"/>
          <w:szCs w:val="20"/>
        </w:rPr>
        <w:t>27</w:t>
      </w:r>
      <w:r>
        <w:rPr>
          <w:rFonts w:ascii="Times New Roman" w:eastAsia="標楷體" w:hAnsi="Times New Roman"/>
          <w:sz w:val="20"/>
          <w:szCs w:val="20"/>
        </w:rPr>
        <w:t>點、第</w:t>
      </w:r>
      <w:r>
        <w:rPr>
          <w:rFonts w:ascii="Times New Roman" w:eastAsia="標楷體" w:hAnsi="Times New Roman"/>
          <w:sz w:val="20"/>
          <w:szCs w:val="20"/>
        </w:rPr>
        <w:t>28</w:t>
      </w:r>
      <w:r>
        <w:rPr>
          <w:rFonts w:ascii="Times New Roman" w:eastAsia="標楷體" w:hAnsi="Times New Roman"/>
          <w:sz w:val="20"/>
          <w:szCs w:val="20"/>
        </w:rPr>
        <w:t>點、第</w:t>
      </w:r>
      <w:r>
        <w:rPr>
          <w:rFonts w:ascii="Times New Roman" w:eastAsia="標楷體" w:hAnsi="Times New Roman"/>
          <w:sz w:val="20"/>
          <w:szCs w:val="20"/>
        </w:rPr>
        <w:t>29</w:t>
      </w:r>
      <w:r>
        <w:rPr>
          <w:rFonts w:ascii="Times New Roman" w:eastAsia="標楷體" w:hAnsi="Times New Roman"/>
          <w:sz w:val="20"/>
          <w:szCs w:val="20"/>
        </w:rPr>
        <w:t>點、第</w:t>
      </w:r>
      <w:r>
        <w:rPr>
          <w:rFonts w:ascii="Times New Roman" w:eastAsia="標楷體" w:hAnsi="Times New Roman"/>
          <w:sz w:val="20"/>
          <w:szCs w:val="20"/>
        </w:rPr>
        <w:t>30</w:t>
      </w:r>
      <w:r>
        <w:rPr>
          <w:rFonts w:ascii="Times New Roman" w:eastAsia="標楷體" w:hAnsi="Times New Roman"/>
          <w:sz w:val="20"/>
          <w:szCs w:val="20"/>
        </w:rPr>
        <w:t>點、成果點數</w:t>
      </w:r>
      <w:proofErr w:type="gramStart"/>
      <w:r>
        <w:rPr>
          <w:rFonts w:ascii="Times New Roman" w:eastAsia="標楷體" w:hAnsi="Times New Roman"/>
          <w:sz w:val="20"/>
          <w:szCs w:val="20"/>
        </w:rPr>
        <w:t>採</w:t>
      </w:r>
      <w:proofErr w:type="gramEnd"/>
      <w:r>
        <w:rPr>
          <w:rFonts w:ascii="Times New Roman" w:eastAsia="標楷體" w:hAnsi="Times New Roman"/>
          <w:sz w:val="20"/>
          <w:szCs w:val="20"/>
        </w:rPr>
        <w:t>計表、新</w:t>
      </w:r>
      <w:r>
        <w:rPr>
          <w:rFonts w:ascii="Times New Roman" w:eastAsia="標楷體" w:hAnsi="Times New Roman"/>
          <w:sz w:val="20"/>
          <w:szCs w:val="20"/>
        </w:rPr>
        <w:t xml:space="preserve"> (</w:t>
      </w:r>
      <w:r>
        <w:rPr>
          <w:rFonts w:ascii="Times New Roman" w:eastAsia="標楷體" w:hAnsi="Times New Roman"/>
          <w:sz w:val="20"/>
          <w:szCs w:val="20"/>
        </w:rPr>
        <w:t>舊制</w:t>
      </w:r>
      <w:r>
        <w:rPr>
          <w:rFonts w:ascii="Times New Roman" w:eastAsia="標楷體" w:hAnsi="Times New Roman"/>
          <w:sz w:val="20"/>
          <w:szCs w:val="20"/>
        </w:rPr>
        <w:t>)</w:t>
      </w:r>
      <w:r>
        <w:rPr>
          <w:rFonts w:ascii="Times New Roman" w:eastAsia="標楷體" w:hAnsi="Times New Roman"/>
          <w:sz w:val="20"/>
          <w:szCs w:val="20"/>
        </w:rPr>
        <w:t>升等評鑑表及新制審查意見表</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106.06.21</w:t>
      </w:r>
      <w:r>
        <w:rPr>
          <w:rFonts w:ascii="Times New Roman" w:eastAsia="標楷體" w:hAnsi="Times New Roman"/>
          <w:sz w:val="20"/>
          <w:szCs w:val="20"/>
        </w:rPr>
        <w:t>本校</w:t>
      </w:r>
      <w:r>
        <w:rPr>
          <w:rFonts w:ascii="Times New Roman" w:eastAsia="標楷體" w:hAnsi="Times New Roman"/>
          <w:sz w:val="20"/>
          <w:szCs w:val="20"/>
        </w:rPr>
        <w:t>105</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學期校務會議修正通過第</w:t>
      </w:r>
      <w:r>
        <w:rPr>
          <w:rFonts w:ascii="Times New Roman" w:eastAsia="標楷體" w:hAnsi="Times New Roman"/>
          <w:sz w:val="20"/>
          <w:szCs w:val="20"/>
        </w:rPr>
        <w:t>7</w:t>
      </w:r>
      <w:r>
        <w:rPr>
          <w:rFonts w:ascii="Times New Roman" w:eastAsia="標楷體" w:hAnsi="Times New Roman"/>
          <w:sz w:val="20"/>
          <w:szCs w:val="20"/>
        </w:rPr>
        <w:t>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9</w:t>
      </w:r>
      <w:r>
        <w:rPr>
          <w:rFonts w:ascii="Times New Roman" w:eastAsia="標楷體" w:hAnsi="Times New Roman"/>
          <w:sz w:val="20"/>
          <w:szCs w:val="20"/>
        </w:rPr>
        <w:t>點及第</w:t>
      </w:r>
      <w:r>
        <w:rPr>
          <w:rFonts w:ascii="Times New Roman" w:eastAsia="標楷體" w:hAnsi="Times New Roman"/>
          <w:sz w:val="20"/>
          <w:szCs w:val="20"/>
        </w:rPr>
        <w:t>30</w:t>
      </w:r>
      <w:r>
        <w:rPr>
          <w:rFonts w:ascii="Times New Roman" w:eastAsia="標楷體" w:hAnsi="Times New Roman"/>
          <w:sz w:val="20"/>
          <w:szCs w:val="20"/>
        </w:rPr>
        <w:t>點</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107.06.20</w:t>
      </w:r>
      <w:r>
        <w:rPr>
          <w:rFonts w:ascii="Times New Roman" w:eastAsia="標楷體" w:hAnsi="Times New Roman"/>
          <w:sz w:val="20"/>
          <w:szCs w:val="20"/>
        </w:rPr>
        <w:t>本校</w:t>
      </w:r>
      <w:r>
        <w:rPr>
          <w:rFonts w:ascii="Times New Roman" w:eastAsia="標楷體" w:hAnsi="Times New Roman"/>
          <w:sz w:val="20"/>
          <w:szCs w:val="20"/>
        </w:rPr>
        <w:t>106</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學期校務會議修正通過第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7</w:t>
      </w:r>
      <w:r>
        <w:rPr>
          <w:rFonts w:ascii="Times New Roman" w:eastAsia="標楷體" w:hAnsi="Times New Roman"/>
          <w:sz w:val="20"/>
          <w:szCs w:val="20"/>
        </w:rPr>
        <w:t>點、第</w:t>
      </w:r>
      <w:r>
        <w:rPr>
          <w:rFonts w:ascii="Times New Roman" w:eastAsia="標楷體" w:hAnsi="Times New Roman"/>
          <w:sz w:val="20"/>
          <w:szCs w:val="20"/>
        </w:rPr>
        <w:t>30</w:t>
      </w:r>
      <w:r>
        <w:rPr>
          <w:rFonts w:ascii="Times New Roman" w:eastAsia="標楷體" w:hAnsi="Times New Roman"/>
          <w:sz w:val="20"/>
          <w:szCs w:val="20"/>
        </w:rPr>
        <w:t>點、成果點數</w:t>
      </w:r>
      <w:proofErr w:type="gramStart"/>
      <w:r>
        <w:rPr>
          <w:rFonts w:ascii="Times New Roman" w:eastAsia="標楷體" w:hAnsi="Times New Roman"/>
          <w:sz w:val="20"/>
          <w:szCs w:val="20"/>
        </w:rPr>
        <w:t>採</w:t>
      </w:r>
      <w:proofErr w:type="gramEnd"/>
      <w:r>
        <w:rPr>
          <w:rFonts w:ascii="Times New Roman" w:eastAsia="標楷體" w:hAnsi="Times New Roman"/>
          <w:sz w:val="20"/>
          <w:szCs w:val="20"/>
        </w:rPr>
        <w:t>計表及審查意見表</w:t>
      </w:r>
      <w:r>
        <w:rPr>
          <w:rFonts w:ascii="Times New Roman" w:eastAsia="標楷體" w:hAnsi="Times New Roman"/>
          <w:sz w:val="20"/>
          <w:szCs w:val="20"/>
        </w:rPr>
        <w:t>(</w:t>
      </w:r>
      <w:r>
        <w:rPr>
          <w:rFonts w:ascii="Times New Roman" w:eastAsia="標楷體" w:hAnsi="Times New Roman"/>
          <w:sz w:val="20"/>
          <w:szCs w:val="20"/>
        </w:rPr>
        <w:t>舊制</w:t>
      </w:r>
      <w:r>
        <w:rPr>
          <w:rFonts w:ascii="Times New Roman" w:eastAsia="標楷體" w:hAnsi="Times New Roman"/>
          <w:sz w:val="20"/>
          <w:szCs w:val="20"/>
        </w:rPr>
        <w:t>)</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109.06.17</w:t>
      </w:r>
      <w:r>
        <w:rPr>
          <w:rFonts w:ascii="Times New Roman" w:eastAsia="標楷體" w:hAnsi="Times New Roman"/>
          <w:sz w:val="20"/>
          <w:szCs w:val="20"/>
        </w:rPr>
        <w:t>本校</w:t>
      </w:r>
      <w:r>
        <w:rPr>
          <w:rFonts w:ascii="Times New Roman" w:eastAsia="標楷體" w:hAnsi="Times New Roman"/>
          <w:sz w:val="20"/>
          <w:szCs w:val="20"/>
        </w:rPr>
        <w:t>108</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學期校務會議修正通過第</w:t>
      </w:r>
      <w:r>
        <w:rPr>
          <w:rFonts w:ascii="Times New Roman" w:eastAsia="標楷體" w:hAnsi="Times New Roman"/>
          <w:sz w:val="20"/>
          <w:szCs w:val="20"/>
        </w:rPr>
        <w:t>23</w:t>
      </w:r>
      <w:r>
        <w:rPr>
          <w:rFonts w:ascii="Times New Roman" w:eastAsia="標楷體" w:hAnsi="Times New Roman"/>
          <w:sz w:val="20"/>
          <w:szCs w:val="20"/>
        </w:rPr>
        <w:t>點、第</w:t>
      </w:r>
      <w:r>
        <w:rPr>
          <w:rFonts w:ascii="Times New Roman" w:eastAsia="標楷體" w:hAnsi="Times New Roman"/>
          <w:sz w:val="20"/>
          <w:szCs w:val="20"/>
        </w:rPr>
        <w:t>30</w:t>
      </w:r>
      <w:r>
        <w:rPr>
          <w:rFonts w:ascii="Times New Roman" w:eastAsia="標楷體" w:hAnsi="Times New Roman"/>
          <w:sz w:val="20"/>
          <w:szCs w:val="20"/>
        </w:rPr>
        <w:t>點</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110.06.02</w:t>
      </w:r>
      <w:r>
        <w:rPr>
          <w:rFonts w:ascii="Times New Roman" w:eastAsia="標楷體" w:hAnsi="Times New Roman"/>
          <w:sz w:val="20"/>
          <w:szCs w:val="20"/>
        </w:rPr>
        <w:t>本校</w:t>
      </w:r>
      <w:r>
        <w:rPr>
          <w:rFonts w:ascii="Times New Roman" w:eastAsia="標楷體" w:hAnsi="Times New Roman"/>
          <w:sz w:val="20"/>
          <w:szCs w:val="20"/>
        </w:rPr>
        <w:t>109</w:t>
      </w:r>
      <w:r>
        <w:rPr>
          <w:rFonts w:ascii="Times New Roman" w:eastAsia="標楷體" w:hAnsi="Times New Roman"/>
          <w:sz w:val="20"/>
          <w:szCs w:val="20"/>
        </w:rPr>
        <w:t>學年度第</w:t>
      </w:r>
      <w:r>
        <w:rPr>
          <w:rFonts w:ascii="Times New Roman" w:eastAsia="標楷體" w:hAnsi="Times New Roman"/>
          <w:sz w:val="20"/>
          <w:szCs w:val="20"/>
        </w:rPr>
        <w:t>2</w:t>
      </w:r>
      <w:r>
        <w:rPr>
          <w:rFonts w:ascii="Times New Roman" w:eastAsia="標楷體" w:hAnsi="Times New Roman"/>
          <w:sz w:val="20"/>
          <w:szCs w:val="20"/>
        </w:rPr>
        <w:t>學期校務會議修正通過第</w:t>
      </w:r>
      <w:r>
        <w:rPr>
          <w:rFonts w:ascii="Times New Roman" w:eastAsia="標楷體" w:hAnsi="Times New Roman"/>
          <w:sz w:val="20"/>
          <w:szCs w:val="20"/>
        </w:rPr>
        <w:t>4</w:t>
      </w:r>
      <w:r>
        <w:rPr>
          <w:rFonts w:ascii="Times New Roman" w:eastAsia="標楷體" w:hAnsi="Times New Roman"/>
          <w:sz w:val="20"/>
          <w:szCs w:val="20"/>
        </w:rPr>
        <w:t>點、第</w:t>
      </w:r>
      <w:r>
        <w:rPr>
          <w:rFonts w:ascii="Times New Roman" w:eastAsia="標楷體" w:hAnsi="Times New Roman"/>
          <w:sz w:val="20"/>
          <w:szCs w:val="20"/>
        </w:rPr>
        <w:t>5</w:t>
      </w:r>
      <w:r>
        <w:rPr>
          <w:rFonts w:ascii="Times New Roman" w:eastAsia="標楷體" w:hAnsi="Times New Roman"/>
          <w:sz w:val="20"/>
          <w:szCs w:val="20"/>
        </w:rPr>
        <w:t>點、第</w:t>
      </w:r>
      <w:r>
        <w:rPr>
          <w:rFonts w:ascii="Times New Roman" w:eastAsia="標楷體" w:hAnsi="Times New Roman"/>
          <w:sz w:val="20"/>
          <w:szCs w:val="20"/>
        </w:rPr>
        <w:t>6</w:t>
      </w:r>
      <w:r>
        <w:rPr>
          <w:rFonts w:ascii="Times New Roman" w:eastAsia="標楷體" w:hAnsi="Times New Roman"/>
          <w:sz w:val="20"/>
          <w:szCs w:val="20"/>
        </w:rPr>
        <w:t>點、第</w:t>
      </w:r>
      <w:r>
        <w:rPr>
          <w:rFonts w:ascii="Times New Roman" w:eastAsia="標楷體" w:hAnsi="Times New Roman"/>
          <w:sz w:val="20"/>
          <w:szCs w:val="20"/>
        </w:rPr>
        <w:t>7</w:t>
      </w:r>
      <w:r>
        <w:rPr>
          <w:rFonts w:ascii="Times New Roman" w:eastAsia="標楷體" w:hAnsi="Times New Roman"/>
          <w:sz w:val="20"/>
          <w:szCs w:val="20"/>
        </w:rPr>
        <w:t>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9</w:t>
      </w:r>
      <w:r>
        <w:rPr>
          <w:rFonts w:ascii="Times New Roman" w:eastAsia="標楷體" w:hAnsi="Times New Roman"/>
          <w:sz w:val="20"/>
          <w:szCs w:val="20"/>
        </w:rPr>
        <w:t>點、第</w:t>
      </w:r>
      <w:r>
        <w:rPr>
          <w:rFonts w:ascii="Times New Roman" w:eastAsia="標楷體" w:hAnsi="Times New Roman"/>
          <w:sz w:val="20"/>
          <w:szCs w:val="20"/>
        </w:rPr>
        <w:t>11</w:t>
      </w:r>
      <w:r>
        <w:rPr>
          <w:rFonts w:ascii="Times New Roman" w:eastAsia="標楷體" w:hAnsi="Times New Roman"/>
          <w:sz w:val="20"/>
          <w:szCs w:val="20"/>
        </w:rPr>
        <w:t>點、第</w:t>
      </w:r>
      <w:r>
        <w:rPr>
          <w:rFonts w:ascii="Times New Roman" w:eastAsia="標楷體" w:hAnsi="Times New Roman"/>
          <w:sz w:val="20"/>
          <w:szCs w:val="20"/>
        </w:rPr>
        <w:t>16</w:t>
      </w:r>
      <w:r>
        <w:rPr>
          <w:rFonts w:ascii="Times New Roman" w:eastAsia="標楷體" w:hAnsi="Times New Roman"/>
          <w:sz w:val="20"/>
          <w:szCs w:val="20"/>
        </w:rPr>
        <w:t>點、第</w:t>
      </w:r>
      <w:r>
        <w:rPr>
          <w:rFonts w:ascii="Times New Roman" w:eastAsia="標楷體" w:hAnsi="Times New Roman"/>
          <w:sz w:val="20"/>
          <w:szCs w:val="20"/>
        </w:rPr>
        <w:t>19</w:t>
      </w:r>
      <w:r>
        <w:rPr>
          <w:rFonts w:ascii="Times New Roman" w:eastAsia="標楷體" w:hAnsi="Times New Roman"/>
          <w:sz w:val="20"/>
          <w:szCs w:val="20"/>
        </w:rPr>
        <w:t>點、第</w:t>
      </w:r>
      <w:r>
        <w:rPr>
          <w:rFonts w:ascii="Times New Roman" w:eastAsia="標楷體" w:hAnsi="Times New Roman"/>
          <w:sz w:val="20"/>
          <w:szCs w:val="20"/>
        </w:rPr>
        <w:t>20</w:t>
      </w:r>
      <w:r>
        <w:rPr>
          <w:rFonts w:ascii="Times New Roman" w:eastAsia="標楷體" w:hAnsi="Times New Roman"/>
          <w:sz w:val="20"/>
          <w:szCs w:val="20"/>
        </w:rPr>
        <w:t>點、第</w:t>
      </w:r>
      <w:r>
        <w:rPr>
          <w:rFonts w:ascii="Times New Roman" w:eastAsia="標楷體" w:hAnsi="Times New Roman"/>
          <w:sz w:val="20"/>
          <w:szCs w:val="20"/>
        </w:rPr>
        <w:t>21</w:t>
      </w:r>
      <w:r>
        <w:rPr>
          <w:rFonts w:ascii="Times New Roman" w:eastAsia="標楷體" w:hAnsi="Times New Roman"/>
          <w:sz w:val="20"/>
          <w:szCs w:val="20"/>
        </w:rPr>
        <w:t>點、第</w:t>
      </w:r>
      <w:r>
        <w:rPr>
          <w:rFonts w:ascii="Times New Roman" w:eastAsia="標楷體" w:hAnsi="Times New Roman"/>
          <w:sz w:val="20"/>
          <w:szCs w:val="20"/>
        </w:rPr>
        <w:t>24</w:t>
      </w:r>
      <w:r>
        <w:rPr>
          <w:rFonts w:ascii="Times New Roman" w:eastAsia="標楷體" w:hAnsi="Times New Roman"/>
          <w:sz w:val="20"/>
          <w:szCs w:val="20"/>
        </w:rPr>
        <w:t>點、第</w:t>
      </w:r>
      <w:r>
        <w:rPr>
          <w:rFonts w:ascii="Times New Roman" w:eastAsia="標楷體" w:hAnsi="Times New Roman"/>
          <w:sz w:val="20"/>
          <w:szCs w:val="20"/>
        </w:rPr>
        <w:t>25</w:t>
      </w:r>
      <w:r>
        <w:rPr>
          <w:rFonts w:ascii="Times New Roman" w:eastAsia="標楷體" w:hAnsi="Times New Roman"/>
          <w:sz w:val="20"/>
          <w:szCs w:val="20"/>
        </w:rPr>
        <w:t>點、附表一、附表二、附表三及教學研究型審查意見表</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110.12.08</w:t>
      </w:r>
      <w:r>
        <w:rPr>
          <w:rFonts w:ascii="Times New Roman" w:eastAsia="標楷體" w:hAnsi="Times New Roman"/>
          <w:sz w:val="20"/>
          <w:szCs w:val="20"/>
        </w:rPr>
        <w:t>校務會議修正通過第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6</w:t>
      </w:r>
      <w:r>
        <w:rPr>
          <w:rFonts w:ascii="Times New Roman" w:eastAsia="標楷體" w:hAnsi="Times New Roman"/>
          <w:sz w:val="20"/>
          <w:szCs w:val="20"/>
        </w:rPr>
        <w:t>點、第</w:t>
      </w:r>
      <w:r>
        <w:rPr>
          <w:rFonts w:ascii="Times New Roman" w:eastAsia="標楷體" w:hAnsi="Times New Roman"/>
          <w:sz w:val="20"/>
          <w:szCs w:val="20"/>
        </w:rPr>
        <w:t>7</w:t>
      </w:r>
      <w:r>
        <w:rPr>
          <w:rFonts w:ascii="Times New Roman" w:eastAsia="標楷體" w:hAnsi="Times New Roman"/>
          <w:sz w:val="20"/>
          <w:szCs w:val="20"/>
        </w:rPr>
        <w:t>點、第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9</w:t>
      </w:r>
      <w:r>
        <w:rPr>
          <w:rFonts w:ascii="Times New Roman" w:eastAsia="標楷體" w:hAnsi="Times New Roman"/>
          <w:sz w:val="20"/>
          <w:szCs w:val="20"/>
        </w:rPr>
        <w:t>點、第</w:t>
      </w:r>
      <w:r>
        <w:rPr>
          <w:rFonts w:ascii="Times New Roman" w:eastAsia="標楷體" w:hAnsi="Times New Roman"/>
          <w:sz w:val="20"/>
          <w:szCs w:val="20"/>
        </w:rPr>
        <w:t>28</w:t>
      </w:r>
      <w:r>
        <w:rPr>
          <w:rFonts w:ascii="Times New Roman" w:eastAsia="標楷體" w:hAnsi="Times New Roman"/>
          <w:sz w:val="20"/>
          <w:szCs w:val="20"/>
        </w:rPr>
        <w:t>點及升等評鑑表。</w:t>
      </w:r>
    </w:p>
    <w:p w:rsidR="002B67A6" w:rsidRDefault="00FC01AE">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t>111.12.07</w:t>
      </w:r>
      <w:r>
        <w:rPr>
          <w:rFonts w:ascii="Times New Roman" w:eastAsia="標楷體" w:hAnsi="Times New Roman"/>
          <w:sz w:val="20"/>
          <w:szCs w:val="20"/>
        </w:rPr>
        <w:t>校務會議修正通過第</w:t>
      </w:r>
      <w:r>
        <w:rPr>
          <w:rFonts w:ascii="Times New Roman" w:eastAsia="標楷體" w:hAnsi="Times New Roman"/>
          <w:sz w:val="20"/>
          <w:szCs w:val="20"/>
        </w:rPr>
        <w:t>4</w:t>
      </w:r>
      <w:r>
        <w:rPr>
          <w:rFonts w:ascii="Times New Roman" w:eastAsia="標楷體" w:hAnsi="Times New Roman"/>
          <w:sz w:val="20"/>
          <w:szCs w:val="20"/>
        </w:rPr>
        <w:t>點、第</w:t>
      </w:r>
      <w:r>
        <w:rPr>
          <w:rFonts w:ascii="Times New Roman" w:eastAsia="標楷體" w:hAnsi="Times New Roman"/>
          <w:sz w:val="20"/>
          <w:szCs w:val="20"/>
        </w:rPr>
        <w:t>5</w:t>
      </w:r>
      <w:r>
        <w:rPr>
          <w:rFonts w:ascii="Times New Roman" w:eastAsia="標楷體" w:hAnsi="Times New Roman"/>
          <w:sz w:val="20"/>
          <w:szCs w:val="20"/>
        </w:rPr>
        <w:t>點、第</w:t>
      </w:r>
      <w:r>
        <w:rPr>
          <w:rFonts w:ascii="Times New Roman" w:eastAsia="標楷體" w:hAnsi="Times New Roman"/>
          <w:sz w:val="20"/>
          <w:szCs w:val="20"/>
        </w:rPr>
        <w:t>6</w:t>
      </w:r>
      <w:r>
        <w:rPr>
          <w:rFonts w:ascii="Times New Roman" w:eastAsia="標楷體" w:hAnsi="Times New Roman"/>
          <w:sz w:val="20"/>
          <w:szCs w:val="20"/>
        </w:rPr>
        <w:t>點、第</w:t>
      </w:r>
      <w:r>
        <w:rPr>
          <w:rFonts w:ascii="Times New Roman" w:eastAsia="標楷體" w:hAnsi="Times New Roman"/>
          <w:sz w:val="20"/>
          <w:szCs w:val="20"/>
        </w:rPr>
        <w:t>11</w:t>
      </w:r>
      <w:r>
        <w:rPr>
          <w:rFonts w:ascii="Times New Roman" w:eastAsia="標楷體" w:hAnsi="Times New Roman"/>
          <w:sz w:val="20"/>
          <w:szCs w:val="20"/>
        </w:rPr>
        <w:t>點、第</w:t>
      </w:r>
      <w:r>
        <w:rPr>
          <w:rFonts w:ascii="Times New Roman" w:eastAsia="標楷體" w:hAnsi="Times New Roman"/>
          <w:sz w:val="20"/>
          <w:szCs w:val="20"/>
        </w:rPr>
        <w:t>12</w:t>
      </w:r>
      <w:r>
        <w:rPr>
          <w:rFonts w:ascii="Times New Roman" w:eastAsia="標楷體" w:hAnsi="Times New Roman"/>
          <w:sz w:val="20"/>
          <w:szCs w:val="20"/>
        </w:rPr>
        <w:t>點、第</w:t>
      </w:r>
      <w:r>
        <w:rPr>
          <w:rFonts w:ascii="Times New Roman" w:eastAsia="標楷體" w:hAnsi="Times New Roman"/>
          <w:sz w:val="20"/>
          <w:szCs w:val="20"/>
        </w:rPr>
        <w:t>13</w:t>
      </w:r>
      <w:r>
        <w:rPr>
          <w:rFonts w:ascii="Times New Roman" w:eastAsia="標楷體" w:hAnsi="Times New Roman"/>
          <w:sz w:val="20"/>
          <w:szCs w:val="20"/>
        </w:rPr>
        <w:t>點、第</w:t>
      </w:r>
      <w:r>
        <w:rPr>
          <w:rFonts w:ascii="Times New Roman" w:eastAsia="標楷體" w:hAnsi="Times New Roman"/>
          <w:sz w:val="20"/>
          <w:szCs w:val="20"/>
        </w:rPr>
        <w:t>16</w:t>
      </w:r>
      <w:r>
        <w:rPr>
          <w:rFonts w:ascii="Times New Roman" w:eastAsia="標楷體" w:hAnsi="Times New Roman"/>
          <w:sz w:val="20"/>
          <w:szCs w:val="20"/>
        </w:rPr>
        <w:t>點、第</w:t>
      </w:r>
      <w:r>
        <w:rPr>
          <w:rFonts w:ascii="Times New Roman" w:eastAsia="標楷體" w:hAnsi="Times New Roman"/>
          <w:sz w:val="20"/>
          <w:szCs w:val="20"/>
        </w:rPr>
        <w:t>19</w:t>
      </w:r>
      <w:r>
        <w:rPr>
          <w:rFonts w:ascii="Times New Roman" w:eastAsia="標楷體" w:hAnsi="Times New Roman"/>
          <w:sz w:val="20"/>
          <w:szCs w:val="20"/>
        </w:rPr>
        <w:t>點、第</w:t>
      </w:r>
      <w:r>
        <w:rPr>
          <w:rFonts w:ascii="Times New Roman" w:eastAsia="標楷體" w:hAnsi="Times New Roman"/>
          <w:sz w:val="20"/>
          <w:szCs w:val="20"/>
        </w:rPr>
        <w:t>23</w:t>
      </w:r>
      <w:r>
        <w:rPr>
          <w:rFonts w:ascii="Times New Roman" w:eastAsia="標楷體" w:hAnsi="Times New Roman"/>
          <w:sz w:val="20"/>
          <w:szCs w:val="20"/>
        </w:rPr>
        <w:t>點、第</w:t>
      </w:r>
      <w:r>
        <w:rPr>
          <w:rFonts w:ascii="Times New Roman" w:eastAsia="標楷體" w:hAnsi="Times New Roman"/>
          <w:sz w:val="20"/>
          <w:szCs w:val="20"/>
        </w:rPr>
        <w:t>25</w:t>
      </w:r>
      <w:r>
        <w:rPr>
          <w:rFonts w:ascii="Times New Roman" w:eastAsia="標楷體" w:hAnsi="Times New Roman"/>
          <w:sz w:val="20"/>
          <w:szCs w:val="20"/>
        </w:rPr>
        <w:t>點、第</w:t>
      </w:r>
      <w:r>
        <w:rPr>
          <w:rFonts w:ascii="Times New Roman" w:eastAsia="標楷體" w:hAnsi="Times New Roman"/>
          <w:sz w:val="20"/>
          <w:szCs w:val="20"/>
        </w:rPr>
        <w:t>26</w:t>
      </w:r>
      <w:r>
        <w:rPr>
          <w:rFonts w:ascii="Times New Roman" w:eastAsia="標楷體" w:hAnsi="Times New Roman"/>
          <w:sz w:val="20"/>
          <w:szCs w:val="20"/>
        </w:rPr>
        <w:t>點、第</w:t>
      </w:r>
      <w:r>
        <w:rPr>
          <w:rFonts w:ascii="Times New Roman" w:eastAsia="標楷體" w:hAnsi="Times New Roman"/>
          <w:sz w:val="20"/>
          <w:szCs w:val="20"/>
        </w:rPr>
        <w:t>28</w:t>
      </w:r>
      <w:r>
        <w:rPr>
          <w:rFonts w:ascii="Times New Roman" w:eastAsia="標楷體" w:hAnsi="Times New Roman"/>
          <w:sz w:val="20"/>
          <w:szCs w:val="20"/>
        </w:rPr>
        <w:t>點及升等評鑑表。</w:t>
      </w:r>
    </w:p>
    <w:p w:rsidR="00B269A3" w:rsidRDefault="00B269A3" w:rsidP="00B269A3">
      <w:pPr>
        <w:pStyle w:val="ac"/>
        <w:numPr>
          <w:ilvl w:val="8"/>
          <w:numId w:val="1"/>
        </w:numPr>
        <w:snapToGrid w:val="0"/>
        <w:spacing w:line="300" w:lineRule="exact"/>
        <w:ind w:left="4071" w:hanging="232"/>
        <w:jc w:val="both"/>
        <w:rPr>
          <w:rFonts w:ascii="Times New Roman" w:eastAsia="標楷體" w:hAnsi="Times New Roman"/>
          <w:sz w:val="20"/>
          <w:szCs w:val="20"/>
        </w:rPr>
      </w:pPr>
      <w:r>
        <w:rPr>
          <w:rFonts w:ascii="Times New Roman" w:eastAsia="標楷體" w:hAnsi="Times New Roman"/>
          <w:sz w:val="20"/>
          <w:szCs w:val="20"/>
        </w:rPr>
        <w:lastRenderedPageBreak/>
        <w:t>11</w:t>
      </w:r>
      <w:r>
        <w:rPr>
          <w:rFonts w:ascii="Times New Roman" w:eastAsia="標楷體" w:hAnsi="Times New Roman" w:hint="eastAsia"/>
          <w:sz w:val="20"/>
          <w:szCs w:val="20"/>
        </w:rPr>
        <w:t>2</w:t>
      </w:r>
      <w:r>
        <w:rPr>
          <w:rFonts w:ascii="Times New Roman" w:eastAsia="標楷體" w:hAnsi="Times New Roman"/>
          <w:sz w:val="20"/>
          <w:szCs w:val="20"/>
        </w:rPr>
        <w:t>.</w:t>
      </w:r>
      <w:r>
        <w:rPr>
          <w:rFonts w:ascii="Times New Roman" w:eastAsia="標楷體" w:hAnsi="Times New Roman" w:hint="eastAsia"/>
          <w:sz w:val="20"/>
          <w:szCs w:val="20"/>
        </w:rPr>
        <w:t>06</w:t>
      </w:r>
      <w:r>
        <w:rPr>
          <w:rFonts w:ascii="Times New Roman" w:eastAsia="標楷體" w:hAnsi="Times New Roman"/>
          <w:sz w:val="20"/>
          <w:szCs w:val="20"/>
        </w:rPr>
        <w:t>.07</w:t>
      </w:r>
      <w:r>
        <w:rPr>
          <w:rFonts w:ascii="Times New Roman" w:eastAsia="標楷體" w:hAnsi="Times New Roman"/>
          <w:sz w:val="20"/>
          <w:szCs w:val="20"/>
        </w:rPr>
        <w:t>校務會議修正通過第</w:t>
      </w:r>
      <w:r>
        <w:rPr>
          <w:rFonts w:ascii="Times New Roman" w:eastAsia="標楷體" w:hAnsi="Times New Roman" w:hint="eastAsia"/>
          <w:sz w:val="20"/>
          <w:szCs w:val="20"/>
        </w:rPr>
        <w:t>7</w:t>
      </w:r>
      <w:r>
        <w:rPr>
          <w:rFonts w:ascii="Times New Roman" w:eastAsia="標楷體" w:hAnsi="Times New Roman"/>
          <w:sz w:val="20"/>
          <w:szCs w:val="20"/>
        </w:rPr>
        <w:t>點、第</w:t>
      </w:r>
      <w:r>
        <w:rPr>
          <w:rFonts w:ascii="Times New Roman" w:eastAsia="標楷體" w:hAnsi="Times New Roman" w:hint="eastAsia"/>
          <w:sz w:val="20"/>
          <w:szCs w:val="20"/>
        </w:rPr>
        <w:t>12</w:t>
      </w:r>
      <w:r>
        <w:rPr>
          <w:rFonts w:ascii="Times New Roman" w:eastAsia="標楷體" w:hAnsi="Times New Roman"/>
          <w:sz w:val="20"/>
          <w:szCs w:val="20"/>
        </w:rPr>
        <w:t>點、第</w:t>
      </w:r>
      <w:r>
        <w:rPr>
          <w:rFonts w:ascii="Times New Roman" w:eastAsia="標楷體" w:hAnsi="Times New Roman" w:hint="eastAsia"/>
          <w:sz w:val="20"/>
          <w:szCs w:val="20"/>
        </w:rPr>
        <w:t>14</w:t>
      </w:r>
      <w:r>
        <w:rPr>
          <w:rFonts w:ascii="Times New Roman" w:eastAsia="標楷體" w:hAnsi="Times New Roman"/>
          <w:sz w:val="20"/>
          <w:szCs w:val="20"/>
        </w:rPr>
        <w:t>點、第</w:t>
      </w:r>
      <w:r>
        <w:rPr>
          <w:rFonts w:ascii="Times New Roman" w:eastAsia="標楷體" w:hAnsi="Times New Roman"/>
          <w:sz w:val="20"/>
          <w:szCs w:val="20"/>
        </w:rPr>
        <w:t>1</w:t>
      </w:r>
      <w:r>
        <w:rPr>
          <w:rFonts w:ascii="Times New Roman" w:eastAsia="標楷體" w:hAnsi="Times New Roman" w:hint="eastAsia"/>
          <w:sz w:val="20"/>
          <w:szCs w:val="20"/>
        </w:rPr>
        <w:t>5</w:t>
      </w:r>
      <w:r>
        <w:rPr>
          <w:rFonts w:ascii="Times New Roman" w:eastAsia="標楷體" w:hAnsi="Times New Roman"/>
          <w:sz w:val="20"/>
          <w:szCs w:val="20"/>
        </w:rPr>
        <w:t>點及</w:t>
      </w:r>
      <w:r w:rsidR="00A9473C">
        <w:rPr>
          <w:rFonts w:ascii="Times New Roman" w:eastAsia="標楷體" w:hAnsi="Times New Roman" w:hint="eastAsia"/>
          <w:sz w:val="20"/>
          <w:szCs w:val="20"/>
        </w:rPr>
        <w:t>附</w:t>
      </w:r>
      <w:r w:rsidRPr="00B269A3">
        <w:rPr>
          <w:rFonts w:ascii="Times New Roman" w:eastAsia="標楷體" w:hAnsi="Times New Roman" w:hint="eastAsia"/>
          <w:sz w:val="20"/>
          <w:szCs w:val="20"/>
        </w:rPr>
        <w:t>表</w:t>
      </w:r>
      <w:r w:rsidR="00A9473C">
        <w:rPr>
          <w:rFonts w:ascii="Times New Roman" w:eastAsia="標楷體" w:hAnsi="Times New Roman" w:hint="eastAsia"/>
          <w:sz w:val="20"/>
          <w:szCs w:val="20"/>
        </w:rPr>
        <w:t>一、二、三</w:t>
      </w:r>
      <w:bookmarkStart w:id="0" w:name="_GoBack"/>
      <w:bookmarkEnd w:id="0"/>
      <w:r>
        <w:rPr>
          <w:rFonts w:ascii="Times New Roman" w:eastAsia="標楷體" w:hAnsi="Times New Roman"/>
          <w:sz w:val="20"/>
          <w:szCs w:val="20"/>
        </w:rPr>
        <w:t>。</w:t>
      </w:r>
    </w:p>
    <w:p w:rsidR="002B67A6"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一、依據本校教師評審委員會實施辦法第三條規定訂定本校教師</w:t>
      </w:r>
      <w:proofErr w:type="gramStart"/>
      <w:r>
        <w:rPr>
          <w:rFonts w:ascii="標楷體" w:eastAsia="標楷體" w:hAnsi="標楷體"/>
          <w:sz w:val="28"/>
          <w:szCs w:val="28"/>
        </w:rPr>
        <w:t>聘任暨升等</w:t>
      </w:r>
      <w:proofErr w:type="gramEnd"/>
      <w:r>
        <w:rPr>
          <w:rFonts w:ascii="標楷體" w:eastAsia="標楷體" w:hAnsi="標楷體"/>
          <w:sz w:val="28"/>
          <w:szCs w:val="28"/>
        </w:rPr>
        <w:t>審查準則（以下簡稱本準則）。</w:t>
      </w:r>
    </w:p>
    <w:p w:rsidR="002B67A6"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二、本校專任教師（以下簡稱教師）</w:t>
      </w:r>
      <w:proofErr w:type="gramStart"/>
      <w:r>
        <w:rPr>
          <w:rFonts w:ascii="標楷體" w:eastAsia="標楷體" w:hAnsi="標楷體"/>
          <w:sz w:val="28"/>
          <w:szCs w:val="28"/>
        </w:rPr>
        <w:t>聘任暨升等</w:t>
      </w:r>
      <w:proofErr w:type="gramEnd"/>
      <w:r>
        <w:rPr>
          <w:rFonts w:ascii="標楷體" w:eastAsia="標楷體" w:hAnsi="標楷體"/>
          <w:sz w:val="28"/>
          <w:szCs w:val="28"/>
        </w:rPr>
        <w:t>除遵照教育頒行之法令規章暨有關規定外，悉依本準則辦理。</w:t>
      </w:r>
    </w:p>
    <w:p w:rsidR="002B67A6" w:rsidRDefault="00FC01AE">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三、本校教師之升等類型區分為學術研究型升等、教學研究型升等及技術應用研究型升等三類。</w:t>
      </w:r>
    </w:p>
    <w:p w:rsidR="002B67A6" w:rsidRDefault="00FC01AE">
      <w:pPr>
        <w:tabs>
          <w:tab w:val="left" w:pos="5400"/>
        </w:tabs>
        <w:overflowPunct w:val="0"/>
        <w:autoSpaceDE w:val="0"/>
        <w:snapToGrid w:val="0"/>
        <w:spacing w:before="120" w:line="400" w:lineRule="exact"/>
        <w:ind w:left="560" w:hanging="560"/>
        <w:jc w:val="both"/>
      </w:pPr>
      <w:r>
        <w:rPr>
          <w:rFonts w:ascii="標楷體" w:eastAsia="標楷體" w:hAnsi="標楷體"/>
          <w:sz w:val="28"/>
          <w:szCs w:val="28"/>
        </w:rPr>
        <w:t>四、各院應訂定具體明確之教學、研究、服務與輔導等審查評鑑標準，系(所、中心或相當層級)應訂定教學、服務與輔導之評鑑標準，據以辦理該單位教師升等業務。其評鑑標準應提上一級教師評審委員會（以下簡稱教評會）審議通過。</w:t>
      </w:r>
    </w:p>
    <w:p w:rsidR="002B67A6" w:rsidRDefault="00FC01AE">
      <w:pPr>
        <w:overflowPunct w:val="0"/>
        <w:autoSpaceDE w:val="0"/>
        <w:snapToGrid w:val="0"/>
        <w:spacing w:before="180" w:line="400" w:lineRule="exact"/>
        <w:ind w:left="480"/>
        <w:jc w:val="both"/>
      </w:pPr>
      <w:r>
        <w:rPr>
          <w:rFonts w:ascii="標楷體" w:eastAsia="標楷體" w:hAnsi="標楷體"/>
          <w:bCs/>
          <w:sz w:val="28"/>
          <w:szCs w:val="28"/>
        </w:rPr>
        <w:t>各院、系</w:t>
      </w:r>
      <w:r>
        <w:rPr>
          <w:rFonts w:ascii="標楷體" w:eastAsia="標楷體" w:hAnsi="標楷體"/>
          <w:sz w:val="28"/>
          <w:szCs w:val="28"/>
        </w:rPr>
        <w:t>(所、中心或相當層級)</w:t>
      </w:r>
      <w:r>
        <w:rPr>
          <w:rFonts w:ascii="標楷體" w:eastAsia="標楷體" w:hAnsi="標楷體" w:cs="Arial"/>
          <w:sz w:val="28"/>
          <w:szCs w:val="28"/>
        </w:rPr>
        <w:t>前項評鑑標準訂定後，於辦理教師著作升等案，應先依評鑑標準及本校教師申請升等評鑑表（如附表）規定，評定申請升等教師教學、服務與輔導成績，再辦理著作外審作業。</w:t>
      </w:r>
    </w:p>
    <w:p w:rsidR="002B67A6" w:rsidRDefault="00FC01AE">
      <w:pPr>
        <w:overflowPunct w:val="0"/>
        <w:autoSpaceDE w:val="0"/>
        <w:snapToGrid w:val="0"/>
        <w:spacing w:before="180" w:line="400" w:lineRule="exact"/>
        <w:ind w:left="480"/>
        <w:jc w:val="both"/>
      </w:pPr>
      <w:proofErr w:type="gramStart"/>
      <w:r>
        <w:rPr>
          <w:rFonts w:ascii="標楷體" w:eastAsia="標楷體" w:hAnsi="標楷體"/>
          <w:sz w:val="28"/>
          <w:szCs w:val="28"/>
        </w:rPr>
        <w:t>各級教評</w:t>
      </w:r>
      <w:proofErr w:type="gramEnd"/>
      <w:r>
        <w:rPr>
          <w:rFonts w:ascii="標楷體" w:eastAsia="標楷體" w:hAnsi="標楷體"/>
          <w:sz w:val="28"/>
          <w:szCs w:val="28"/>
        </w:rPr>
        <w:t>會評定升等教師教學、</w:t>
      </w:r>
      <w:r>
        <w:rPr>
          <w:rFonts w:ascii="標楷體" w:eastAsia="標楷體" w:hAnsi="標楷體" w:cs="Arial"/>
          <w:sz w:val="28"/>
          <w:szCs w:val="28"/>
        </w:rPr>
        <w:t>服務與輔導成績之方式，規定如下：</w:t>
      </w:r>
    </w:p>
    <w:p w:rsidR="002B67A6" w:rsidRDefault="00FC01AE">
      <w:pPr>
        <w:overflowPunct w:val="0"/>
        <w:autoSpaceDE w:val="0"/>
        <w:snapToGrid w:val="0"/>
        <w:spacing w:line="400" w:lineRule="exact"/>
        <w:ind w:left="1124" w:hanging="644"/>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)通過標準：出席委員三分之二以上評分達基本分數以上，始為通過。</w:t>
      </w:r>
    </w:p>
    <w:p w:rsidR="002B67A6" w:rsidRDefault="00FC01AE">
      <w:pPr>
        <w:tabs>
          <w:tab w:val="left" w:pos="5400"/>
        </w:tabs>
        <w:overflowPunct w:val="0"/>
        <w:autoSpaceDE w:val="0"/>
        <w:snapToGrid w:val="0"/>
        <w:spacing w:line="400" w:lineRule="exact"/>
        <w:ind w:left="1040" w:hanging="560"/>
        <w:jc w:val="both"/>
      </w:pPr>
      <w:r>
        <w:rPr>
          <w:rFonts w:ascii="標楷體" w:eastAsia="標楷體" w:hAnsi="標楷體"/>
          <w:sz w:val="28"/>
          <w:szCs w:val="28"/>
        </w:rPr>
        <w:t>(二)分數計算方式：依據出席委員評分由高至低排序，取前三分之二委員的分數計算平均數。</w:t>
      </w:r>
    </w:p>
    <w:p w:rsidR="002B67A6" w:rsidRDefault="00FC01AE">
      <w:pPr>
        <w:tabs>
          <w:tab w:val="left" w:pos="5400"/>
        </w:tabs>
        <w:overflowPunct w:val="0"/>
        <w:autoSpaceDE w:val="0"/>
        <w:snapToGrid w:val="0"/>
        <w:spacing w:before="180" w:line="400" w:lineRule="exact"/>
        <w:ind w:left="560" w:hanging="560"/>
        <w:jc w:val="both"/>
      </w:pPr>
      <w:r>
        <w:rPr>
          <w:rFonts w:ascii="標楷體" w:eastAsia="標楷體" w:hAnsi="標楷體"/>
          <w:sz w:val="28"/>
          <w:szCs w:val="28"/>
        </w:rPr>
        <w:t>五、</w:t>
      </w:r>
      <w:r>
        <w:rPr>
          <w:rFonts w:ascii="標楷體" w:eastAsia="標楷體" w:hAnsi="標楷體"/>
          <w:bCs/>
          <w:sz w:val="28"/>
          <w:szCs w:val="28"/>
        </w:rPr>
        <w:t>本校教師升等依「教育人員任用條例」相關資格規定辦理，如以教師年資辦理升等，應以本職受頒教師證書記載之</w:t>
      </w:r>
      <w:proofErr w:type="gramStart"/>
      <w:r>
        <w:rPr>
          <w:rFonts w:ascii="標楷體" w:eastAsia="標楷體" w:hAnsi="標楷體"/>
          <w:bCs/>
          <w:sz w:val="28"/>
          <w:szCs w:val="28"/>
        </w:rPr>
        <w:t>起資年月起計</w:t>
      </w:r>
      <w:proofErr w:type="gramEnd"/>
      <w:r>
        <w:rPr>
          <w:rFonts w:ascii="標楷體" w:eastAsia="標楷體" w:hAnsi="標楷體"/>
          <w:bCs/>
          <w:sz w:val="28"/>
          <w:szCs w:val="28"/>
        </w:rPr>
        <w:t>，至提出申請升等當學期結束時，其年資核計：講師、助理教授、副教授須任教三年以上，始得申請升等。如以有關之研究工作、專門職業或職務等經歷辦理升等，其經歷年資應為專任職並經系</w:t>
      </w:r>
      <w:r>
        <w:rPr>
          <w:rFonts w:ascii="標楷體" w:eastAsia="標楷體" w:hAnsi="標楷體"/>
          <w:sz w:val="28"/>
          <w:szCs w:val="28"/>
        </w:rPr>
        <w:t>(所、中心或相當層級)</w:t>
      </w:r>
      <w:r>
        <w:rPr>
          <w:rFonts w:ascii="標楷體" w:eastAsia="標楷體" w:hAnsi="標楷體"/>
          <w:bCs/>
          <w:sz w:val="28"/>
          <w:szCs w:val="28"/>
        </w:rPr>
        <w:t>教評會審議認定</w:t>
      </w:r>
      <w:proofErr w:type="gramStart"/>
      <w:r>
        <w:rPr>
          <w:rFonts w:ascii="標楷體" w:eastAsia="標楷體" w:hAnsi="標楷體"/>
          <w:bCs/>
          <w:sz w:val="28"/>
          <w:szCs w:val="28"/>
        </w:rPr>
        <w:t>採</w:t>
      </w:r>
      <w:proofErr w:type="gramEnd"/>
      <w:r>
        <w:rPr>
          <w:rFonts w:ascii="標楷體" w:eastAsia="標楷體" w:hAnsi="標楷體"/>
          <w:bCs/>
          <w:sz w:val="28"/>
          <w:szCs w:val="28"/>
        </w:rPr>
        <w:t>計至法規所定年資，始得申請升等。</w:t>
      </w:r>
    </w:p>
    <w:p w:rsidR="002B67A6"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Pr>
          <w:rFonts w:ascii="標楷體" w:eastAsia="標楷體" w:hAnsi="標楷體"/>
          <w:sz w:val="28"/>
          <w:szCs w:val="28"/>
        </w:rPr>
        <w:t>前項教師年資，兼任教師年資折半計算；教師留職</w:t>
      </w:r>
      <w:proofErr w:type="gramStart"/>
      <w:r>
        <w:rPr>
          <w:rFonts w:ascii="標楷體" w:eastAsia="標楷體" w:hAnsi="標楷體"/>
          <w:sz w:val="28"/>
          <w:szCs w:val="28"/>
        </w:rPr>
        <w:t>留薪於國內外</w:t>
      </w:r>
      <w:proofErr w:type="gramEnd"/>
      <w:r>
        <w:rPr>
          <w:rFonts w:ascii="標楷體" w:eastAsia="標楷體" w:hAnsi="標楷體"/>
          <w:sz w:val="28"/>
          <w:szCs w:val="28"/>
        </w:rPr>
        <w:t>研究，進修講學，除國內進修同時擔任教學達本職</w:t>
      </w:r>
      <w:proofErr w:type="gramStart"/>
      <w:r>
        <w:rPr>
          <w:rFonts w:ascii="標楷體" w:eastAsia="標楷體" w:hAnsi="標楷體"/>
          <w:sz w:val="28"/>
          <w:szCs w:val="28"/>
        </w:rPr>
        <w:t>應授</w:t>
      </w:r>
      <w:proofErr w:type="gramEnd"/>
      <w:r>
        <w:rPr>
          <w:rFonts w:ascii="標楷體" w:eastAsia="標楷體" w:hAnsi="標楷體"/>
          <w:sz w:val="28"/>
          <w:szCs w:val="28"/>
        </w:rPr>
        <w:t>時數</w:t>
      </w:r>
      <w:proofErr w:type="gramStart"/>
      <w:r>
        <w:rPr>
          <w:rFonts w:ascii="標楷體" w:eastAsia="標楷體" w:hAnsi="標楷體"/>
          <w:sz w:val="28"/>
          <w:szCs w:val="28"/>
        </w:rPr>
        <w:t>之半</w:t>
      </w:r>
      <w:proofErr w:type="gramEnd"/>
      <w:r>
        <w:rPr>
          <w:rFonts w:ascii="標楷體" w:eastAsia="標楷體" w:hAnsi="標楷體"/>
          <w:sz w:val="28"/>
          <w:szCs w:val="28"/>
        </w:rPr>
        <w:t>者，其年資應予全數採計，國外進修年資得折半計算，其留職停薪之年資概不採計；借調者之本職級年資除仍在校授課時數達本職應授課時數</w:t>
      </w:r>
      <w:proofErr w:type="gramStart"/>
      <w:r>
        <w:rPr>
          <w:rFonts w:ascii="標楷體" w:eastAsia="標楷體" w:hAnsi="標楷體"/>
          <w:sz w:val="28"/>
          <w:szCs w:val="28"/>
        </w:rPr>
        <w:t>之半者外</w:t>
      </w:r>
      <w:proofErr w:type="gramEnd"/>
      <w:r>
        <w:rPr>
          <w:rFonts w:ascii="標楷體" w:eastAsia="標楷體" w:hAnsi="標楷體"/>
          <w:sz w:val="28"/>
          <w:szCs w:val="28"/>
        </w:rPr>
        <w:t>，概不採計。</w:t>
      </w:r>
    </w:p>
    <w:p w:rsidR="002B67A6" w:rsidRDefault="00FC01AE">
      <w:pPr>
        <w:tabs>
          <w:tab w:val="left" w:pos="5400"/>
        </w:tabs>
        <w:overflowPunct w:val="0"/>
        <w:autoSpaceDE w:val="0"/>
        <w:snapToGrid w:val="0"/>
        <w:spacing w:before="120" w:line="400" w:lineRule="exact"/>
        <w:ind w:left="560" w:hanging="560"/>
        <w:jc w:val="both"/>
      </w:pPr>
      <w:r>
        <w:rPr>
          <w:rFonts w:ascii="標楷體" w:eastAsia="標楷體" w:hAnsi="標楷體"/>
          <w:sz w:val="28"/>
          <w:szCs w:val="28"/>
        </w:rPr>
        <w:t>六、各系(所、中心或相當層級)應於每學期第一個月底前轉知所屬教師依規定程</w:t>
      </w:r>
      <w:r>
        <w:rPr>
          <w:rFonts w:ascii="標楷體" w:eastAsia="標楷體" w:hAnsi="標楷體"/>
          <w:sz w:val="28"/>
          <w:szCs w:val="28"/>
        </w:rPr>
        <w:lastRenderedPageBreak/>
        <w:t>序申請次一學期升等，惟其所具專長或代表著作與任教科目無關，概不受理。</w:t>
      </w:r>
    </w:p>
    <w:p w:rsidR="002B67A6" w:rsidRDefault="002B67A6">
      <w:pPr>
        <w:tabs>
          <w:tab w:val="left" w:pos="5400"/>
        </w:tabs>
        <w:overflowPunct w:val="0"/>
        <w:autoSpaceDE w:val="0"/>
        <w:snapToGrid w:val="0"/>
        <w:spacing w:before="180" w:line="400" w:lineRule="exact"/>
        <w:ind w:left="560" w:hanging="560"/>
        <w:jc w:val="both"/>
        <w:rPr>
          <w:rFonts w:ascii="標楷體" w:eastAsia="標楷體" w:hAnsi="標楷體"/>
          <w:sz w:val="28"/>
          <w:szCs w:val="28"/>
        </w:rPr>
      </w:pPr>
    </w:p>
    <w:p w:rsidR="002B67A6" w:rsidRDefault="00FC01AE">
      <w:pPr>
        <w:tabs>
          <w:tab w:val="left" w:pos="5400"/>
        </w:tabs>
        <w:overflowPunct w:val="0"/>
        <w:autoSpaceDE w:val="0"/>
        <w:snapToGrid w:val="0"/>
        <w:spacing w:before="180" w:line="400" w:lineRule="exact"/>
        <w:ind w:left="552"/>
        <w:jc w:val="both"/>
      </w:pPr>
      <w:r>
        <w:rPr>
          <w:rFonts w:ascii="標楷體" w:eastAsia="標楷體" w:hAnsi="標楷體"/>
          <w:sz w:val="28"/>
          <w:szCs w:val="28"/>
        </w:rPr>
        <w:t>申請升等教師送審著作，代表著作及參考著作需於取得前一等級教師資格後及送審前七年內出版之著作。但送審教師於前述期限內曾懷孕或生產者，得申請延長前述年限二年之著作送審。有關著作年限推定係以送審人向</w:t>
      </w:r>
      <w:proofErr w:type="gramStart"/>
      <w:r>
        <w:rPr>
          <w:rFonts w:ascii="標楷體" w:eastAsia="標楷體" w:hAnsi="標楷體"/>
          <w:sz w:val="28"/>
          <w:szCs w:val="28"/>
        </w:rPr>
        <w:t>第一級教評</w:t>
      </w:r>
      <w:proofErr w:type="gramEnd"/>
      <w:r>
        <w:rPr>
          <w:rFonts w:ascii="標楷體" w:eastAsia="標楷體" w:hAnsi="標楷體"/>
          <w:sz w:val="28"/>
          <w:szCs w:val="28"/>
        </w:rPr>
        <w:t>會提出申請之日期為推算基準點。</w:t>
      </w:r>
    </w:p>
    <w:p w:rsidR="002B67A6"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Pr>
          <w:rFonts w:ascii="標楷體" w:eastAsia="標楷體" w:hAnsi="標楷體"/>
          <w:sz w:val="28"/>
          <w:szCs w:val="28"/>
        </w:rPr>
        <w:t>前項所稱著作，為公開發行之專書，或於國內外學術或專業刊物發表，或經前開刊物出具證明將定期發表，或有正式審查程序研討會發表且集結成冊出版公開發行之著作。</w:t>
      </w:r>
    </w:p>
    <w:p w:rsidR="002B67A6" w:rsidRDefault="00FC01AE">
      <w:pPr>
        <w:tabs>
          <w:tab w:val="left" w:pos="5400"/>
        </w:tabs>
        <w:overflowPunct w:val="0"/>
        <w:autoSpaceDE w:val="0"/>
        <w:snapToGrid w:val="0"/>
        <w:spacing w:before="180" w:line="400" w:lineRule="exact"/>
        <w:ind w:left="552"/>
        <w:jc w:val="both"/>
        <w:rPr>
          <w:rFonts w:ascii="標楷體" w:eastAsia="標楷體" w:hAnsi="標楷體"/>
          <w:sz w:val="28"/>
          <w:szCs w:val="28"/>
        </w:rPr>
      </w:pPr>
      <w:r>
        <w:rPr>
          <w:rFonts w:ascii="標楷體" w:eastAsia="標楷體" w:hAnsi="標楷體"/>
          <w:sz w:val="28"/>
          <w:szCs w:val="28"/>
        </w:rPr>
        <w:t>教師送審之著作應符合「專科以上學校教師資格審定辦法」有關之規定。</w:t>
      </w:r>
    </w:p>
    <w:p w:rsidR="002B67A6" w:rsidRDefault="00FC01AE">
      <w:pPr>
        <w:overflowPunct w:val="0"/>
        <w:autoSpaceDE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七、申請學術研究型升等之教師除應通過最近一次教師評鑑外，並須符合下列各項資格條件：</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（一）升等副教授必須同時符合以下二項條件：</w:t>
      </w:r>
    </w:p>
    <w:p w:rsidR="002B67A6" w:rsidRDefault="00FC01AE">
      <w:pPr>
        <w:overflowPunct w:val="0"/>
        <w:autoSpaceDE w:val="0"/>
        <w:snapToGrid w:val="0"/>
        <w:spacing w:line="400" w:lineRule="exact"/>
        <w:ind w:left="1146" w:hanging="301"/>
        <w:jc w:val="both"/>
      </w:pPr>
      <w:r>
        <w:rPr>
          <w:rFonts w:ascii="標楷體" w:eastAsia="標楷體" w:hAnsi="標楷體"/>
          <w:sz w:val="28"/>
          <w:szCs w:val="28"/>
        </w:rPr>
        <w:t>1.理工領域之教師，近7年刊登於A&amp;HCI、SCI(E)、SSCI、TSSCI（第一級與第二級）、THCI（第一級與第二級）之期刊論文累計達4篇以上（須為第一作者或通訊作者，代表著作貢獻如同第一作者及貢獻均等作者不予</w:t>
      </w:r>
      <w:proofErr w:type="gramStart"/>
      <w:r>
        <w:rPr>
          <w:rFonts w:ascii="標楷體" w:eastAsia="標楷體" w:hAnsi="標楷體"/>
          <w:sz w:val="28"/>
          <w:szCs w:val="28"/>
        </w:rPr>
        <w:t>採</w:t>
      </w:r>
      <w:proofErr w:type="gramEnd"/>
      <w:r>
        <w:rPr>
          <w:rFonts w:ascii="標楷體" w:eastAsia="標楷體" w:hAnsi="標楷體"/>
          <w:sz w:val="28"/>
          <w:szCs w:val="28"/>
        </w:rPr>
        <w:t>計，代表著作雙通訊作者以上未提供與期刊主編通訊相關資料者不予採計），並須由前款論文選擇1篇論文作為代表著作（代表著作若為具突破性之重要學術論文，但送審者非唯一第一作者或與主編通訊之作者，送審者需敘明論文重要性以及個人對論文研究的貢獻，經系所教評會審議通過後，再送外審審議。）。</w:t>
      </w:r>
    </w:p>
    <w:p w:rsidR="002B67A6" w:rsidRDefault="00FC01AE">
      <w:pPr>
        <w:overflowPunct w:val="0"/>
        <w:autoSpaceDE w:val="0"/>
        <w:spacing w:before="180" w:line="400" w:lineRule="exact"/>
        <w:ind w:left="1080"/>
        <w:jc w:val="both"/>
      </w:pPr>
      <w:r>
        <w:rPr>
          <w:rFonts w:ascii="標楷體" w:eastAsia="標楷體" w:hAnsi="標楷體"/>
          <w:sz w:val="28"/>
          <w:szCs w:val="28"/>
        </w:rPr>
        <w:t>人文、藝術、運動、教育、科學教育、商管領域之教師，近7年刊登於經各學術領域認可之國內、</w:t>
      </w:r>
      <w:proofErr w:type="gramStart"/>
      <w:r>
        <w:rPr>
          <w:rFonts w:ascii="標楷體" w:eastAsia="標楷體" w:hAnsi="標楷體"/>
          <w:sz w:val="28"/>
          <w:szCs w:val="28"/>
        </w:rPr>
        <w:t>外具審查</w:t>
      </w:r>
      <w:proofErr w:type="gramEnd"/>
      <w:r>
        <w:rPr>
          <w:rFonts w:ascii="標楷體" w:eastAsia="標楷體" w:hAnsi="標楷體"/>
          <w:sz w:val="28"/>
          <w:szCs w:val="28"/>
        </w:rPr>
        <w:t>制度之學術或專業刊物之論文累計達4篇以上，其中至少1篇以上發表於SCI(E)、SSCI、TSSCI（第一級與第二級）、THCI（第一級與第二級）、A&amp;HCI所列之代表性期刊論文</w:t>
      </w:r>
      <w:r>
        <w:rPr>
          <w:rFonts w:ascii="標楷體" w:eastAsia="標楷體" w:hAnsi="標楷體"/>
          <w:kern w:val="0"/>
          <w:sz w:val="28"/>
          <w:szCs w:val="28"/>
        </w:rPr>
        <w:t>，其中藝術領域之教師得以</w:t>
      </w:r>
      <w:r w:rsidR="004C3A92" w:rsidRPr="004C3A92">
        <w:rPr>
          <w:rFonts w:ascii="標楷體" w:eastAsia="標楷體" w:hAnsi="標楷體" w:hint="eastAsia"/>
          <w:color w:val="FF0000"/>
          <w:sz w:val="28"/>
          <w:szCs w:val="28"/>
          <w:u w:val="single"/>
        </w:rPr>
        <w:t>國家科學及技術委員會（以下簡稱國科會）</w:t>
      </w:r>
      <w:r w:rsidRPr="004C3A92">
        <w:rPr>
          <w:rFonts w:ascii="標楷體" w:eastAsia="標楷體" w:hAnsi="標楷體"/>
          <w:kern w:val="0"/>
          <w:sz w:val="28"/>
          <w:szCs w:val="28"/>
        </w:rPr>
        <w:t>「</w:t>
      </w:r>
      <w:r>
        <w:rPr>
          <w:rFonts w:ascii="標楷體" w:eastAsia="標楷體" w:hAnsi="標楷體"/>
          <w:kern w:val="0"/>
          <w:sz w:val="28"/>
          <w:szCs w:val="28"/>
        </w:rPr>
        <w:t>臺灣人文及社會科學期刊評比暨核心期刊收錄」第三級以上期刊之論文代替該代表性論文</w:t>
      </w:r>
      <w:r>
        <w:rPr>
          <w:rFonts w:ascii="標楷體" w:eastAsia="標楷體" w:hAnsi="標楷體"/>
          <w:sz w:val="28"/>
          <w:szCs w:val="28"/>
        </w:rPr>
        <w:t>（須為第一作者或通訊作者，代表著作貢獻如同第一作者及貢獻均等作者不予採計，代表著作雙通訊作者以上未提供與期刊主編通訊相關資料者不予採計），亦得以經嚴謹制度審查之成就證明或經嚴謹制度</w:t>
      </w:r>
      <w:r>
        <w:rPr>
          <w:rFonts w:ascii="標楷體" w:eastAsia="標楷體" w:hAnsi="標楷體"/>
          <w:sz w:val="28"/>
          <w:szCs w:val="28"/>
        </w:rPr>
        <w:lastRenderedPageBreak/>
        <w:t>審查，且已發表或出版並公開發行之專書或專章、作品等至少1種代替該代表性論文。藝術創作類教師</w:t>
      </w:r>
      <w:proofErr w:type="gramStart"/>
      <w:r>
        <w:rPr>
          <w:rFonts w:ascii="標楷體" w:eastAsia="標楷體" w:hAnsi="標楷體"/>
          <w:sz w:val="28"/>
          <w:szCs w:val="28"/>
        </w:rPr>
        <w:t>升等悉依</w:t>
      </w:r>
      <w:proofErr w:type="gramEnd"/>
      <w:r>
        <w:rPr>
          <w:rFonts w:ascii="標楷體" w:eastAsia="標楷體" w:hAnsi="標楷體"/>
          <w:sz w:val="28"/>
          <w:szCs w:val="28"/>
        </w:rPr>
        <w:t>教育部頒「藝術類科教師以作品及成就證明送審教師資格審查範圍及基準」規定辦理。</w:t>
      </w:r>
    </w:p>
    <w:p w:rsidR="002B67A6" w:rsidRDefault="00FC01AE">
      <w:pPr>
        <w:overflowPunct w:val="0"/>
        <w:autoSpaceDE w:val="0"/>
        <w:snapToGrid w:val="0"/>
        <w:spacing w:line="400" w:lineRule="exact"/>
        <w:ind w:left="1147" w:hanging="300"/>
        <w:jc w:val="both"/>
      </w:pPr>
      <w:r>
        <w:rPr>
          <w:rFonts w:ascii="標楷體" w:eastAsia="標楷體" w:hAnsi="標楷體"/>
          <w:sz w:val="28"/>
          <w:szCs w:val="28"/>
        </w:rPr>
        <w:t>2.理工領域之教師，學術研究成果總點數 40點以上（已採用於條件1之成果不得再計算點數）。</w:t>
      </w:r>
    </w:p>
    <w:p w:rsidR="002B67A6" w:rsidRDefault="00FC01AE">
      <w:pPr>
        <w:overflowPunct w:val="0"/>
        <w:autoSpaceDE w:val="0"/>
        <w:snapToGrid w:val="0"/>
        <w:spacing w:before="18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人文、藝術、運動、教育、科學教育、商管領域之教師，學術研究成果總點數20點以上（已採用於條件1之成果不得再計算點數）。學術研究成果點數</w:t>
      </w:r>
      <w:proofErr w:type="gramStart"/>
      <w:r>
        <w:rPr>
          <w:rFonts w:ascii="標楷體" w:eastAsia="標楷體" w:hAnsi="標楷體"/>
          <w:sz w:val="28"/>
          <w:szCs w:val="28"/>
        </w:rPr>
        <w:t>採</w:t>
      </w:r>
      <w:proofErr w:type="gramEnd"/>
      <w:r>
        <w:rPr>
          <w:rFonts w:ascii="標楷體" w:eastAsia="標楷體" w:hAnsi="標楷體"/>
          <w:sz w:val="28"/>
          <w:szCs w:val="28"/>
        </w:rPr>
        <w:t>計，如附表一。</w:t>
      </w:r>
    </w:p>
    <w:p w:rsidR="002B67A6" w:rsidRDefault="00FC01AE">
      <w:pPr>
        <w:overflowPunct w:val="0"/>
        <w:autoSpaceDE w:val="0"/>
        <w:spacing w:line="400" w:lineRule="exact"/>
        <w:ind w:left="1072" w:hanging="280"/>
        <w:jc w:val="both"/>
        <w:rPr>
          <w:rFonts w:ascii="標楷體" w:eastAsia="標楷體" w:hAnsi="標楷體"/>
          <w:sz w:val="28"/>
          <w:szCs w:val="28"/>
        </w:rPr>
      </w:pPr>
      <w:r>
        <w:rPr>
          <w:rFonts w:ascii="標楷體" w:eastAsia="標楷體" w:hAnsi="標楷體"/>
          <w:sz w:val="28"/>
          <w:szCs w:val="28"/>
        </w:rPr>
        <w:t>3.109年8月1日起新進之教師，近七年須主持至少1件以上公部門計畫（範圍以技術創新、研發、教學研究、教學實踐研究或專案研究等內容）。</w:t>
      </w:r>
    </w:p>
    <w:p w:rsidR="002B67A6" w:rsidRDefault="00FC01AE">
      <w:pPr>
        <w:overflowPunct w:val="0"/>
        <w:autoSpaceDE w:val="0"/>
        <w:spacing w:line="400" w:lineRule="exact"/>
        <w:ind w:left="1072" w:hanging="280"/>
        <w:jc w:val="both"/>
        <w:rPr>
          <w:rFonts w:ascii="標楷體" w:eastAsia="標楷體" w:hAnsi="標楷體"/>
          <w:sz w:val="28"/>
          <w:szCs w:val="28"/>
        </w:rPr>
      </w:pPr>
      <w:r>
        <w:rPr>
          <w:rFonts w:ascii="標楷體" w:eastAsia="標楷體" w:hAnsi="標楷體"/>
          <w:sz w:val="28"/>
          <w:szCs w:val="28"/>
        </w:rPr>
        <w:tab/>
        <w:t>運動學系新聘術科專任老師，不受此限。</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（二）升等教授必須同時符合以下二項條件：</w:t>
      </w:r>
    </w:p>
    <w:p w:rsidR="002B67A6" w:rsidRDefault="00FC01AE">
      <w:pPr>
        <w:overflowPunct w:val="0"/>
        <w:autoSpaceDE w:val="0"/>
        <w:snapToGrid w:val="0"/>
        <w:spacing w:line="400" w:lineRule="exact"/>
        <w:ind w:left="1146" w:hanging="301"/>
        <w:jc w:val="both"/>
        <w:rPr>
          <w:rFonts w:ascii="標楷體" w:eastAsia="標楷體" w:hAnsi="標楷體"/>
          <w:sz w:val="28"/>
          <w:szCs w:val="28"/>
        </w:rPr>
      </w:pPr>
      <w:r>
        <w:rPr>
          <w:rFonts w:ascii="標楷體" w:eastAsia="標楷體" w:hAnsi="標楷體"/>
          <w:sz w:val="28"/>
          <w:szCs w:val="28"/>
        </w:rPr>
        <w:t>1.理工領域之教師，近7年刊登於A&amp;HCI、SCI(E)、SSCI、TSSCI（第一級與第二級）、THCI（第一級與第二級）之期刊論文累計達5篇以上（須為第一作者或通訊作者，代表著作貢獻如同第一作者及貢獻均等作者不予</w:t>
      </w:r>
      <w:proofErr w:type="gramStart"/>
      <w:r>
        <w:rPr>
          <w:rFonts w:ascii="標楷體" w:eastAsia="標楷體" w:hAnsi="標楷體"/>
          <w:sz w:val="28"/>
          <w:szCs w:val="28"/>
        </w:rPr>
        <w:t>採</w:t>
      </w:r>
      <w:proofErr w:type="gramEnd"/>
      <w:r>
        <w:rPr>
          <w:rFonts w:ascii="標楷體" w:eastAsia="標楷體" w:hAnsi="標楷體"/>
          <w:sz w:val="28"/>
          <w:szCs w:val="28"/>
        </w:rPr>
        <w:t>計，代表著作雙通訊作者以上未提供與期刊主編通訊相關資料者不予採計），並須由前款論文選擇1篇作為代表著作（代表著作若為具突破性之重要學術論文，但送審者非唯一第一作者或與主編通訊之作者，送審者需敘明論文重要性以及個人對論文研究的貢獻，經系所教評會審議通過後，再送外審審議。）。</w:t>
      </w:r>
    </w:p>
    <w:p w:rsidR="002B67A6" w:rsidRDefault="00FC01AE">
      <w:pPr>
        <w:overflowPunct w:val="0"/>
        <w:autoSpaceDE w:val="0"/>
        <w:snapToGrid w:val="0"/>
        <w:spacing w:before="180" w:line="400" w:lineRule="exact"/>
        <w:ind w:left="1080"/>
        <w:jc w:val="both"/>
      </w:pPr>
      <w:r>
        <w:rPr>
          <w:rFonts w:ascii="標楷體" w:eastAsia="標楷體" w:hAnsi="標楷體"/>
          <w:sz w:val="28"/>
          <w:szCs w:val="28"/>
        </w:rPr>
        <w:t>人文、藝術、運動、教育、科學教育、商管領域之教師，近7年刊登於經各學術領域認可之國內、</w:t>
      </w:r>
      <w:proofErr w:type="gramStart"/>
      <w:r>
        <w:rPr>
          <w:rFonts w:ascii="標楷體" w:eastAsia="標楷體" w:hAnsi="標楷體"/>
          <w:sz w:val="28"/>
          <w:szCs w:val="28"/>
        </w:rPr>
        <w:t>外具審查</w:t>
      </w:r>
      <w:proofErr w:type="gramEnd"/>
      <w:r>
        <w:rPr>
          <w:rFonts w:ascii="標楷體" w:eastAsia="標楷體" w:hAnsi="標楷體"/>
          <w:sz w:val="28"/>
          <w:szCs w:val="28"/>
        </w:rPr>
        <w:t>制度之學術或專業刊物之論文累計達4篇以上，其中至少1篇以上發表於SCI(E)、SSCI、TSSCI（第一級與第二級）、THCI（第一級與第二級）、A&amp;HCI所列之代表性期刊論文</w:t>
      </w:r>
      <w:r>
        <w:rPr>
          <w:rFonts w:ascii="標楷體" w:eastAsia="標楷體" w:hAnsi="標楷體"/>
          <w:kern w:val="0"/>
          <w:sz w:val="28"/>
          <w:szCs w:val="28"/>
        </w:rPr>
        <w:t>，其中藝術領域之教師得以</w:t>
      </w:r>
      <w:r w:rsidR="004C3A92" w:rsidRPr="004C3A92">
        <w:rPr>
          <w:rFonts w:ascii="標楷體" w:eastAsia="標楷體" w:hAnsi="標楷體" w:hint="eastAsia"/>
          <w:color w:val="FF0000"/>
          <w:sz w:val="28"/>
          <w:szCs w:val="28"/>
          <w:u w:val="single"/>
        </w:rPr>
        <w:t>國科會</w:t>
      </w:r>
      <w:r>
        <w:rPr>
          <w:rFonts w:ascii="標楷體" w:eastAsia="標楷體" w:hAnsi="標楷體"/>
          <w:kern w:val="0"/>
          <w:sz w:val="28"/>
          <w:szCs w:val="28"/>
        </w:rPr>
        <w:t>「臺灣人文及社會科學期刊評比暨核心期刊收錄」第三級以上期刊之論文代替該代表性論文</w:t>
      </w:r>
      <w:r>
        <w:rPr>
          <w:rFonts w:ascii="標楷體" w:eastAsia="標楷體" w:hAnsi="標楷體"/>
          <w:sz w:val="28"/>
          <w:szCs w:val="28"/>
        </w:rPr>
        <w:t>（須為第一作者或通訊作者，代表著作貢獻如同第一作者及貢獻均等作者不予採計，代表著作雙通訊作者以上未提供與期刊主編通訊相關資料者不予採計），亦得以經嚴謹制度審查之成就證明或經嚴謹制度審查，且已發表或出版並公開發行之專書或專章、作品等至少1種代替該代表性論文。藝術創作類教師</w:t>
      </w:r>
      <w:proofErr w:type="gramStart"/>
      <w:r>
        <w:rPr>
          <w:rFonts w:ascii="標楷體" w:eastAsia="標楷體" w:hAnsi="標楷體"/>
          <w:sz w:val="28"/>
          <w:szCs w:val="28"/>
        </w:rPr>
        <w:t>升等悉依</w:t>
      </w:r>
      <w:proofErr w:type="gramEnd"/>
      <w:r>
        <w:rPr>
          <w:rFonts w:ascii="標楷體" w:eastAsia="標楷體" w:hAnsi="標楷體"/>
          <w:sz w:val="28"/>
          <w:szCs w:val="28"/>
        </w:rPr>
        <w:t>教育部頒「藝術類科教師以作品及成就證明送審教師資格審查範圍及基準」規定辦理。</w:t>
      </w:r>
    </w:p>
    <w:p w:rsidR="002B67A6" w:rsidRDefault="00FC01AE">
      <w:pPr>
        <w:overflowPunct w:val="0"/>
        <w:autoSpaceDE w:val="0"/>
        <w:snapToGrid w:val="0"/>
        <w:spacing w:line="400" w:lineRule="exact"/>
        <w:ind w:left="1056" w:hanging="336"/>
        <w:jc w:val="both"/>
        <w:rPr>
          <w:rFonts w:ascii="標楷體" w:eastAsia="標楷體" w:hAnsi="標楷體"/>
          <w:sz w:val="28"/>
          <w:szCs w:val="28"/>
        </w:rPr>
      </w:pPr>
      <w:r>
        <w:rPr>
          <w:rFonts w:ascii="標楷體" w:eastAsia="標楷體" w:hAnsi="標楷體"/>
          <w:sz w:val="28"/>
          <w:szCs w:val="28"/>
        </w:rPr>
        <w:t>2.理工領域之教師，學術研究成果總點數50點以上（已採用於條件1之成果</w:t>
      </w:r>
      <w:r>
        <w:rPr>
          <w:rFonts w:ascii="標楷體" w:eastAsia="標楷體" w:hAnsi="標楷體"/>
          <w:sz w:val="28"/>
          <w:szCs w:val="28"/>
        </w:rPr>
        <w:lastRenderedPageBreak/>
        <w:t>不得再計算點數）。</w:t>
      </w:r>
    </w:p>
    <w:p w:rsidR="002B67A6" w:rsidRDefault="00FC01AE">
      <w:pPr>
        <w:overflowPunct w:val="0"/>
        <w:autoSpaceDE w:val="0"/>
        <w:snapToGrid w:val="0"/>
        <w:spacing w:before="18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人文、藝術、運動、教育、科學教育、商管領域之教師，學術研究成果總點數30點以上（已採用於條件1之成果不得再計算點數）。學術研究成果點數</w:t>
      </w:r>
      <w:proofErr w:type="gramStart"/>
      <w:r>
        <w:rPr>
          <w:rFonts w:ascii="標楷體" w:eastAsia="標楷體" w:hAnsi="標楷體"/>
          <w:sz w:val="28"/>
          <w:szCs w:val="28"/>
        </w:rPr>
        <w:t>採</w:t>
      </w:r>
      <w:proofErr w:type="gramEnd"/>
      <w:r>
        <w:rPr>
          <w:rFonts w:ascii="標楷體" w:eastAsia="標楷體" w:hAnsi="標楷體"/>
          <w:sz w:val="28"/>
          <w:szCs w:val="28"/>
        </w:rPr>
        <w:t>計，如附表一。</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3.109年8月1日起新進之教師，近七年須主持至少2件以上公部門計畫（範圍以技術創新、研發、教學研究、教學實踐研究或專案研究等內容）。</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ab/>
        <w:t>運動學系新聘術科專任老師，不受此限。</w:t>
      </w:r>
    </w:p>
    <w:p w:rsidR="002B67A6" w:rsidRDefault="00FC01AE">
      <w:pPr>
        <w:overflowPunct w:val="0"/>
        <w:autoSpaceDE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八、申請教學研究型升等之教師除應通過最近一次教師評鑑外，並須符合下列各項資格條件：</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（一）升等副教授必須同時符合以下四項條件：</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1.理工領域之教師，近7年刊登於A&amp;HCI、SCI(E)、SSCI、TSSCI（第一級與第二級）及THCI（第一級與第二級）所列之期刊至少2篇以上（須為第一作者或通訊作者），亦得以經嚴謹制度審查之成就證明或經嚴謹制度審查，且已發表或出版並公開發行之專書或專章、作品等至少2種代替該等論文。</w:t>
      </w:r>
    </w:p>
    <w:p w:rsidR="002B67A6" w:rsidRDefault="00FC01AE">
      <w:pPr>
        <w:pStyle w:val="a5"/>
        <w:overflowPunct w:val="0"/>
        <w:autoSpaceDE w:val="0"/>
        <w:snapToGrid w:val="0"/>
        <w:spacing w:before="180" w:after="0" w:line="400" w:lineRule="exact"/>
        <w:ind w:left="1080"/>
        <w:jc w:val="both"/>
      </w:pPr>
      <w:r>
        <w:rPr>
          <w:rFonts w:ascii="標楷體" w:eastAsia="標楷體" w:hAnsi="標楷體"/>
          <w:sz w:val="28"/>
          <w:szCs w:val="28"/>
        </w:rPr>
        <w:t>人文、藝術、運動、教育、科學教育、商管領域之教師，近7年</w:t>
      </w:r>
      <w:r>
        <w:rPr>
          <w:rFonts w:ascii="標楷體" w:eastAsia="標楷體" w:hAnsi="標楷體"/>
          <w:bCs/>
          <w:sz w:val="28"/>
          <w:szCs w:val="28"/>
        </w:rPr>
        <w:t>刊登於A&amp;HCI、SCI(E)、SSCI、TSSCI（第一級與第二級）及 THCI（第一級與第二級）所列之期刊至少1篇以上（須為第一作者或通訊作者），亦得以經嚴謹制度審查之成就證明或經嚴謹制度審查，且已發表或出版並公開發行之專書或專章、作品等至少 1 種代替該論文。藝術創作類教師辦理個人作品展演1次，其展演類別與作品數量須符合教育部「藝術類科教師以作品及成就證明送審教師資格審查</w:t>
      </w:r>
      <w:r>
        <w:rPr>
          <w:rFonts w:ascii="標楷體" w:eastAsia="標楷體" w:hAnsi="標楷體"/>
          <w:sz w:val="28"/>
          <w:szCs w:val="28"/>
        </w:rPr>
        <w:t>範圍及</w:t>
      </w:r>
      <w:r>
        <w:rPr>
          <w:rFonts w:ascii="標楷體" w:eastAsia="標楷體" w:hAnsi="標楷體"/>
          <w:bCs/>
          <w:sz w:val="28"/>
          <w:szCs w:val="28"/>
        </w:rPr>
        <w:t>基準」規定。</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2.近7年教學評量成績平均4.0以上或排名在所屬系所之前40%以內。</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3.教學研究成果總點數 50點。教學研究成果點數</w:t>
      </w:r>
      <w:proofErr w:type="gramStart"/>
      <w:r>
        <w:rPr>
          <w:rFonts w:ascii="標楷體" w:eastAsia="標楷體" w:hAnsi="標楷體"/>
          <w:bCs/>
          <w:sz w:val="28"/>
          <w:szCs w:val="28"/>
        </w:rPr>
        <w:t>採</w:t>
      </w:r>
      <w:proofErr w:type="gramEnd"/>
      <w:r>
        <w:rPr>
          <w:rFonts w:ascii="標楷體" w:eastAsia="標楷體" w:hAnsi="標楷體"/>
          <w:bCs/>
          <w:sz w:val="28"/>
          <w:szCs w:val="28"/>
        </w:rPr>
        <w:t>計，如附表二。</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4.須提供彙整後之教學成就報告作為代表著作送審。</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5.109年8月1日起新進之教師，近七年須主持至少1件以上公部門計畫（範圍以技術創新、研發、教學研究、教學實踐研究或專案研究等內容）。</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ab/>
        <w:t>運動學系新聘術科專任老師，不受此限。</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（二）升等教授必須同時符合以下四項條件：</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1.理工領域之教師，近7年刊登於A&amp;HCI、SCI(E)、SSCI、TSSCI（第一級與第二級）及THCI（第一級與第二級）所列之期刊至少3篇以上（須為第一作者或通訊作者），亦得以經嚴謹制度審查之成就證明或經嚴謹制度審</w:t>
      </w:r>
      <w:r>
        <w:rPr>
          <w:rFonts w:ascii="標楷體" w:eastAsia="標楷體" w:hAnsi="標楷體"/>
          <w:bCs/>
          <w:sz w:val="28"/>
          <w:szCs w:val="28"/>
        </w:rPr>
        <w:lastRenderedPageBreak/>
        <w:t>查，且已發表或出版並公開發行之專書或專章、作品等至少3種代替該等論文。</w:t>
      </w:r>
    </w:p>
    <w:p w:rsidR="002B67A6" w:rsidRDefault="00FC01AE">
      <w:pPr>
        <w:pStyle w:val="a5"/>
        <w:overflowPunct w:val="0"/>
        <w:autoSpaceDE w:val="0"/>
        <w:snapToGrid w:val="0"/>
        <w:spacing w:before="180" w:after="0" w:line="400" w:lineRule="exact"/>
        <w:ind w:left="1080"/>
        <w:jc w:val="both"/>
      </w:pPr>
      <w:r>
        <w:rPr>
          <w:rFonts w:ascii="標楷體" w:eastAsia="標楷體" w:hAnsi="標楷體"/>
          <w:sz w:val="28"/>
          <w:szCs w:val="28"/>
        </w:rPr>
        <w:t>人文、藝術、運動、教育、科學教育、商管領域之教師，近7年</w:t>
      </w:r>
      <w:r>
        <w:rPr>
          <w:rFonts w:ascii="標楷體" w:eastAsia="標楷體" w:hAnsi="標楷體"/>
          <w:bCs/>
          <w:sz w:val="28"/>
          <w:szCs w:val="28"/>
        </w:rPr>
        <w:t>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w:t>
      </w:r>
      <w:r>
        <w:rPr>
          <w:rFonts w:ascii="標楷體" w:eastAsia="標楷體" w:hAnsi="標楷體"/>
          <w:sz w:val="28"/>
          <w:szCs w:val="28"/>
        </w:rPr>
        <w:t>範圍及</w:t>
      </w:r>
      <w:r>
        <w:rPr>
          <w:rFonts w:ascii="標楷體" w:eastAsia="標楷體" w:hAnsi="標楷體"/>
          <w:bCs/>
          <w:sz w:val="28"/>
          <w:szCs w:val="28"/>
        </w:rPr>
        <w:t>基準」規定。</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2.近7年教學評量成績平均4.0以上或排名在所屬系所之前40%以內。</w:t>
      </w:r>
    </w:p>
    <w:p w:rsidR="002B67A6" w:rsidRDefault="00FC01AE">
      <w:pPr>
        <w:pStyle w:val="a5"/>
        <w:overflowPunct w:val="0"/>
        <w:autoSpaceDE w:val="0"/>
        <w:snapToGrid w:val="0"/>
        <w:spacing w:after="0" w:line="400" w:lineRule="exact"/>
        <w:ind w:left="1120" w:hanging="280"/>
        <w:jc w:val="both"/>
        <w:rPr>
          <w:rFonts w:ascii="標楷體" w:eastAsia="標楷體" w:hAnsi="標楷體"/>
          <w:bCs/>
          <w:sz w:val="28"/>
          <w:szCs w:val="28"/>
        </w:rPr>
      </w:pPr>
      <w:r>
        <w:rPr>
          <w:rFonts w:ascii="標楷體" w:eastAsia="標楷體" w:hAnsi="標楷體"/>
          <w:bCs/>
          <w:sz w:val="28"/>
          <w:szCs w:val="28"/>
        </w:rPr>
        <w:t>3.教學研究成果總點數70點。教學研究成果點數</w:t>
      </w:r>
      <w:proofErr w:type="gramStart"/>
      <w:r>
        <w:rPr>
          <w:rFonts w:ascii="標楷體" w:eastAsia="標楷體" w:hAnsi="標楷體"/>
          <w:bCs/>
          <w:sz w:val="28"/>
          <w:szCs w:val="28"/>
        </w:rPr>
        <w:t>採</w:t>
      </w:r>
      <w:proofErr w:type="gramEnd"/>
      <w:r>
        <w:rPr>
          <w:rFonts w:ascii="標楷體" w:eastAsia="標楷體" w:hAnsi="標楷體"/>
          <w:bCs/>
          <w:sz w:val="28"/>
          <w:szCs w:val="28"/>
        </w:rPr>
        <w:t>計，如附表二。</w:t>
      </w:r>
    </w:p>
    <w:p w:rsidR="002B67A6" w:rsidRDefault="00FC01AE">
      <w:pPr>
        <w:overflowPunct w:val="0"/>
        <w:autoSpaceDE w:val="0"/>
        <w:snapToGrid w:val="0"/>
        <w:spacing w:line="400" w:lineRule="exact"/>
        <w:ind w:left="1120" w:hanging="280"/>
        <w:jc w:val="both"/>
        <w:rPr>
          <w:rFonts w:ascii="標楷體" w:eastAsia="標楷體" w:hAnsi="標楷體"/>
          <w:bCs/>
          <w:sz w:val="28"/>
          <w:szCs w:val="28"/>
        </w:rPr>
      </w:pPr>
      <w:r>
        <w:rPr>
          <w:rFonts w:ascii="標楷體" w:eastAsia="標楷體" w:hAnsi="標楷體"/>
          <w:bCs/>
          <w:sz w:val="28"/>
          <w:szCs w:val="28"/>
        </w:rPr>
        <w:t>4.須提供彙整後之教學成就報告作為代表著作送審。</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5.109年8月1日起新進之教師，近七年須主持至少2件以上公部門計畫（範圍以技術創新、研發、教學研究、教學實踐研究或專案研究等內容）。</w:t>
      </w:r>
    </w:p>
    <w:p w:rsidR="002B67A6" w:rsidRDefault="00FC01AE">
      <w:pPr>
        <w:overflowPunct w:val="0"/>
        <w:autoSpaceDE w:val="0"/>
        <w:spacing w:line="400" w:lineRule="exact"/>
        <w:ind w:left="1120" w:hanging="280"/>
        <w:jc w:val="both"/>
        <w:rPr>
          <w:rFonts w:ascii="標楷體" w:eastAsia="標楷體" w:hAnsi="標楷體"/>
          <w:sz w:val="28"/>
          <w:szCs w:val="28"/>
        </w:rPr>
      </w:pPr>
      <w:r>
        <w:rPr>
          <w:rFonts w:ascii="標楷體" w:eastAsia="標楷體" w:hAnsi="標楷體"/>
          <w:sz w:val="28"/>
          <w:szCs w:val="28"/>
        </w:rPr>
        <w:tab/>
        <w:t>運動學系新聘術科專任老師，不受此限。</w:t>
      </w:r>
    </w:p>
    <w:p w:rsidR="002B67A6" w:rsidRDefault="00FC01AE">
      <w:pPr>
        <w:overflowPunct w:val="0"/>
        <w:autoSpaceDE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九、申請技術應用研究型升等之教師除應通過最近一次教師評鑑外，並須符合下列各項資格條件：</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（一）升等副教授必須同時符合以下三項條件：</w:t>
      </w:r>
    </w:p>
    <w:p w:rsidR="002B67A6" w:rsidRDefault="00FC01AE">
      <w:pPr>
        <w:pStyle w:val="a5"/>
        <w:overflowPunct w:val="0"/>
        <w:autoSpaceDE w:val="0"/>
        <w:snapToGrid w:val="0"/>
        <w:spacing w:after="0" w:line="400" w:lineRule="exact"/>
        <w:ind w:left="1120" w:hanging="280"/>
        <w:jc w:val="both"/>
      </w:pPr>
      <w:r>
        <w:rPr>
          <w:rFonts w:ascii="標楷體" w:eastAsia="標楷體" w:hAnsi="標楷體"/>
          <w:bCs/>
          <w:sz w:val="28"/>
          <w:szCs w:val="28"/>
        </w:rPr>
        <w:t>1.</w:t>
      </w:r>
      <w:r>
        <w:rPr>
          <w:rFonts w:ascii="標楷體" w:eastAsia="標楷體" w:hAnsi="標楷體"/>
          <w:sz w:val="28"/>
          <w:szCs w:val="28"/>
        </w:rPr>
        <w:t>理工領域之教師，近7年刊登於A&amp;HCI、SCI(E)、SSCI、TSSCI（第一級與</w:t>
      </w:r>
      <w:r>
        <w:rPr>
          <w:rFonts w:ascii="標楷體" w:eastAsia="標楷體" w:hAnsi="標楷體"/>
          <w:bCs/>
          <w:sz w:val="28"/>
          <w:szCs w:val="28"/>
        </w:rPr>
        <w:t>第二</w:t>
      </w:r>
      <w:r>
        <w:rPr>
          <w:rFonts w:ascii="標楷體" w:eastAsia="標楷體" w:hAnsi="標楷體"/>
          <w:sz w:val="28"/>
          <w:szCs w:val="28"/>
        </w:rPr>
        <w:t>級）及THCI（第一級與第二級）所列之期刊累計達2篇以上（須為第一作者或通訊作者），其中1篇論文得以技術報告代替，且須由前述論文擇一為代表著作。</w:t>
      </w:r>
    </w:p>
    <w:p w:rsidR="002B67A6"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近7年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範圍及基準」規定。</w:t>
      </w:r>
    </w:p>
    <w:p w:rsidR="002B67A6" w:rsidRDefault="00FC01AE">
      <w:pPr>
        <w:pStyle w:val="a5"/>
        <w:overflowPunct w:val="0"/>
        <w:autoSpaceDE w:val="0"/>
        <w:snapToGrid w:val="0"/>
        <w:spacing w:after="0" w:line="400" w:lineRule="exact"/>
        <w:ind w:left="1120" w:hanging="280"/>
        <w:jc w:val="both"/>
      </w:pPr>
      <w:r>
        <w:rPr>
          <w:rFonts w:ascii="標楷體" w:eastAsia="標楷體" w:hAnsi="標楷體"/>
          <w:bCs/>
          <w:sz w:val="28"/>
          <w:szCs w:val="28"/>
        </w:rPr>
        <w:t>2.</w:t>
      </w:r>
      <w:r>
        <w:rPr>
          <w:rFonts w:ascii="標楷體" w:eastAsia="標楷體" w:hAnsi="標楷體"/>
          <w:sz w:val="28"/>
          <w:szCs w:val="28"/>
        </w:rPr>
        <w:t>理工領域之教師，7年內產學合作計畫行政管理費累計達60萬元以上或技轉金額及行政管理費合計達100萬元以上。</w:t>
      </w:r>
    </w:p>
    <w:p w:rsidR="002B67A6"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人文、藝術、運動、教育、科學教育、商管領域之教師，7年內產學合作</w:t>
      </w:r>
      <w:r>
        <w:rPr>
          <w:rFonts w:ascii="標楷體" w:eastAsia="標楷體" w:hAnsi="標楷體"/>
          <w:sz w:val="28"/>
          <w:szCs w:val="28"/>
        </w:rPr>
        <w:lastRenderedPageBreak/>
        <w:t>計畫行政管理費累計達30萬元以上或技轉金額及行政管理費合計達40萬元以上。</w:t>
      </w:r>
    </w:p>
    <w:p w:rsidR="002B67A6"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Pr>
          <w:rFonts w:ascii="標楷體" w:eastAsia="標楷體" w:hAnsi="標楷體"/>
          <w:sz w:val="28"/>
          <w:szCs w:val="28"/>
        </w:rPr>
        <w:t>人文、藝術、運動領域之教師，亦可7年內本人或指導學生之創作表現或運動成就達30點以上</w:t>
      </w:r>
      <w:proofErr w:type="gramStart"/>
      <w:r>
        <w:rPr>
          <w:rFonts w:ascii="標楷體" w:eastAsia="標楷體" w:hAnsi="標楷體"/>
          <w:sz w:val="28"/>
          <w:szCs w:val="28"/>
        </w:rPr>
        <w:t>（</w:t>
      </w:r>
      <w:proofErr w:type="gramEnd"/>
      <w:r>
        <w:rPr>
          <w:rFonts w:ascii="標楷體" w:eastAsia="標楷體" w:hAnsi="標楷體"/>
          <w:sz w:val="28"/>
          <w:szCs w:val="28"/>
        </w:rPr>
        <w:t>依技術應用研究成果點數採計表之8.創作作品或9.運動成就項目計點</w:t>
      </w:r>
      <w:proofErr w:type="gramStart"/>
      <w:r>
        <w:rPr>
          <w:rFonts w:ascii="標楷體" w:eastAsia="標楷體" w:hAnsi="標楷體"/>
          <w:sz w:val="28"/>
          <w:szCs w:val="28"/>
        </w:rPr>
        <w:t>）</w:t>
      </w:r>
      <w:proofErr w:type="gramEnd"/>
      <w:r>
        <w:rPr>
          <w:rFonts w:ascii="標楷體" w:eastAsia="標楷體" w:hAnsi="標楷體"/>
          <w:sz w:val="28"/>
          <w:szCs w:val="28"/>
        </w:rPr>
        <w:t>。</w:t>
      </w:r>
    </w:p>
    <w:p w:rsidR="002B67A6"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Pr>
          <w:rFonts w:ascii="標楷體" w:eastAsia="標楷體" w:hAnsi="標楷體"/>
          <w:sz w:val="28"/>
          <w:szCs w:val="28"/>
        </w:rPr>
        <w:t>3.理工領域之教師，技術應用研究成果總點數40點以上（已採用於條件1及條件2之成果不得再計算點數）。</w:t>
      </w:r>
    </w:p>
    <w:p w:rsidR="002B67A6" w:rsidRDefault="00FC01AE">
      <w:pPr>
        <w:overflowPunct w:val="0"/>
        <w:autoSpaceDE w:val="0"/>
        <w:spacing w:before="180" w:line="400" w:lineRule="exact"/>
        <w:ind w:left="1080"/>
        <w:jc w:val="both"/>
      </w:pPr>
      <w:r>
        <w:rPr>
          <w:rFonts w:ascii="標楷體" w:eastAsia="標楷體" w:hAnsi="標楷體"/>
          <w:sz w:val="28"/>
          <w:szCs w:val="28"/>
        </w:rPr>
        <w:t>人文、藝術、運動、教育、科學教育、商管領域之教師，技術應用研究成果總點數20點以上（已採用於條件1及條件2之成果不得再計算點數）。技術應用研究成果點數</w:t>
      </w:r>
      <w:proofErr w:type="gramStart"/>
      <w:r>
        <w:rPr>
          <w:rFonts w:ascii="標楷體" w:eastAsia="標楷體" w:hAnsi="標楷體"/>
          <w:sz w:val="28"/>
          <w:szCs w:val="28"/>
        </w:rPr>
        <w:t>採</w:t>
      </w:r>
      <w:proofErr w:type="gramEnd"/>
      <w:r>
        <w:rPr>
          <w:rFonts w:ascii="標楷體" w:eastAsia="標楷體" w:hAnsi="標楷體"/>
          <w:sz w:val="28"/>
          <w:szCs w:val="28"/>
        </w:rPr>
        <w:t>計，如附表三。</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（二）升等教授必須同時符合以下三項條件：</w:t>
      </w:r>
    </w:p>
    <w:p w:rsidR="002B67A6"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Pr>
          <w:rFonts w:ascii="標楷體" w:eastAsia="標楷體" w:hAnsi="標楷體"/>
          <w:sz w:val="28"/>
          <w:szCs w:val="28"/>
        </w:rPr>
        <w:t>1.理工領域之教師，近7年刊登於A&amp;HCI、SCI(E)、SSCI、TSSCI（第一級與第二級）及THCI（第一級與第二級）所列之期刊累計達3篇以上（須為第一作者或通訊作者），其中1篇論文得以技術報告代替，且須由前述論文擇一為代表著作。</w:t>
      </w:r>
    </w:p>
    <w:p w:rsidR="002B67A6"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近7年刊登於A&amp;HCI、SCI(E)、SSCI、TSSCI（第一級與第二級）及THCI（第一級與第二級）所列之期刊至少1篇以上（須為第一作者或通訊作者），亦得以經嚴謹制度審查之成就證明或經嚴謹制度審查，且已發表或出版並公開發行之專書或專章、作品等至少1種代替該論文。藝術創作類教師辦理個人作品展演1次，其展演類別與作品數量須符合教育部「藝術類科教師以作品及成就證明送審教師資格審查範圍及基準」規定。</w:t>
      </w:r>
    </w:p>
    <w:p w:rsidR="002B67A6"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Pr>
          <w:rFonts w:ascii="標楷體" w:eastAsia="標楷體" w:hAnsi="標楷體"/>
          <w:sz w:val="28"/>
          <w:szCs w:val="28"/>
        </w:rPr>
        <w:t>2.理工領域之教師，7年內產學合作計畫行政管理費累計達90萬元以上或技轉金額及行政管理費合計達140萬元以上。</w:t>
      </w:r>
    </w:p>
    <w:p w:rsidR="002B67A6" w:rsidRDefault="00FC01AE">
      <w:pPr>
        <w:pStyle w:val="a5"/>
        <w:overflowPunct w:val="0"/>
        <w:autoSpaceDE w:val="0"/>
        <w:snapToGrid w:val="0"/>
        <w:spacing w:before="180" w:after="0" w:line="400" w:lineRule="exact"/>
        <w:ind w:left="1080"/>
        <w:jc w:val="both"/>
        <w:rPr>
          <w:rFonts w:ascii="標楷體" w:eastAsia="標楷體" w:hAnsi="標楷體"/>
          <w:sz w:val="28"/>
          <w:szCs w:val="28"/>
        </w:rPr>
      </w:pPr>
      <w:r>
        <w:rPr>
          <w:rFonts w:ascii="標楷體" w:eastAsia="標楷體" w:hAnsi="標楷體"/>
          <w:sz w:val="28"/>
          <w:szCs w:val="28"/>
        </w:rPr>
        <w:t>人文、藝術、運動、教育、科學教育、商管領域之教師，7年內產學合作計畫行政管理費累計達50萬元以上或技轉金額及行政管理費合計達65萬元以上；人文、藝術、運動領域之教師，亦可7年內本人或指導學生之創作表現或運動成就達40點以上</w:t>
      </w:r>
      <w:proofErr w:type="gramStart"/>
      <w:r>
        <w:rPr>
          <w:rFonts w:ascii="標楷體" w:eastAsia="標楷體" w:hAnsi="標楷體"/>
          <w:sz w:val="28"/>
          <w:szCs w:val="28"/>
        </w:rPr>
        <w:t>（</w:t>
      </w:r>
      <w:proofErr w:type="gramEnd"/>
      <w:r>
        <w:rPr>
          <w:rFonts w:ascii="標楷體" w:eastAsia="標楷體" w:hAnsi="標楷體"/>
          <w:sz w:val="28"/>
          <w:szCs w:val="28"/>
        </w:rPr>
        <w:t>依技術應用研究成果點數採計表之8.創作作品或9.運動成就項目計點</w:t>
      </w:r>
      <w:proofErr w:type="gramStart"/>
      <w:r>
        <w:rPr>
          <w:rFonts w:ascii="標楷體" w:eastAsia="標楷體" w:hAnsi="標楷體"/>
          <w:sz w:val="28"/>
          <w:szCs w:val="28"/>
        </w:rPr>
        <w:t>）</w:t>
      </w:r>
      <w:proofErr w:type="gramEnd"/>
      <w:r>
        <w:rPr>
          <w:rFonts w:ascii="標楷體" w:eastAsia="標楷體" w:hAnsi="標楷體"/>
          <w:sz w:val="28"/>
          <w:szCs w:val="28"/>
        </w:rPr>
        <w:t>。</w:t>
      </w:r>
    </w:p>
    <w:p w:rsidR="002B67A6" w:rsidRDefault="00FC01AE">
      <w:pPr>
        <w:pStyle w:val="a5"/>
        <w:overflowPunct w:val="0"/>
        <w:autoSpaceDE w:val="0"/>
        <w:snapToGrid w:val="0"/>
        <w:spacing w:after="0" w:line="400" w:lineRule="exact"/>
        <w:ind w:left="1120" w:hanging="280"/>
        <w:jc w:val="both"/>
        <w:rPr>
          <w:rFonts w:ascii="標楷體" w:eastAsia="標楷體" w:hAnsi="標楷體"/>
          <w:sz w:val="28"/>
          <w:szCs w:val="28"/>
        </w:rPr>
      </w:pPr>
      <w:r>
        <w:rPr>
          <w:rFonts w:ascii="標楷體" w:eastAsia="標楷體" w:hAnsi="標楷體"/>
          <w:sz w:val="28"/>
          <w:szCs w:val="28"/>
        </w:rPr>
        <w:t>3.理工領域之教師，技術應用研究成果總點數50點以上（已採用於條件1及條件2之成果不得再計算點數）。</w:t>
      </w:r>
    </w:p>
    <w:p w:rsidR="002B67A6" w:rsidRDefault="00FC01AE">
      <w:pPr>
        <w:overflowPunct w:val="0"/>
        <w:autoSpaceDE w:val="0"/>
        <w:spacing w:before="180" w:line="400" w:lineRule="exact"/>
        <w:ind w:left="1080"/>
        <w:jc w:val="both"/>
      </w:pPr>
      <w:r>
        <w:rPr>
          <w:rFonts w:ascii="標楷體" w:eastAsia="標楷體" w:hAnsi="標楷體"/>
          <w:sz w:val="28"/>
          <w:szCs w:val="28"/>
        </w:rPr>
        <w:lastRenderedPageBreak/>
        <w:t>人文、藝術、運動、教育、科學教育、商管領域之教師，技術應用研究成果總點數30點以上（已採用於條件1及條件2之成果不得再計算點數）。技術應用研究成果點數</w:t>
      </w:r>
      <w:proofErr w:type="gramStart"/>
      <w:r>
        <w:rPr>
          <w:rFonts w:ascii="標楷體" w:eastAsia="標楷體" w:hAnsi="標楷體"/>
          <w:sz w:val="28"/>
          <w:szCs w:val="28"/>
        </w:rPr>
        <w:t>採</w:t>
      </w:r>
      <w:proofErr w:type="gramEnd"/>
      <w:r>
        <w:rPr>
          <w:rFonts w:ascii="標楷體" w:eastAsia="標楷體" w:hAnsi="標楷體"/>
          <w:sz w:val="28"/>
          <w:szCs w:val="28"/>
        </w:rPr>
        <w:t>計，如附表三。</w:t>
      </w:r>
    </w:p>
    <w:p w:rsidR="002B67A6" w:rsidRDefault="00FC01AE">
      <w:pPr>
        <w:overflowPunct w:val="0"/>
        <w:autoSpaceDE w:val="0"/>
        <w:spacing w:before="180" w:line="400" w:lineRule="exact"/>
        <w:ind w:left="560" w:hanging="560"/>
        <w:jc w:val="both"/>
        <w:rPr>
          <w:rFonts w:ascii="標楷體" w:eastAsia="標楷體" w:hAnsi="標楷體"/>
          <w:sz w:val="28"/>
          <w:szCs w:val="28"/>
        </w:rPr>
      </w:pPr>
      <w:r>
        <w:rPr>
          <w:rFonts w:ascii="標楷體" w:eastAsia="標楷體" w:hAnsi="標楷體"/>
          <w:sz w:val="28"/>
          <w:szCs w:val="28"/>
        </w:rPr>
        <w:t>十、各類型升等之外審委員須具備下列條件：</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（一）學術研究型：在學術研究方面有具體成果或貢獻者。</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（二）教學研究型：在教學方面有具體成果或貢獻者。</w:t>
      </w:r>
    </w:p>
    <w:p w:rsidR="002B67A6" w:rsidRDefault="00FC01AE">
      <w:pPr>
        <w:overflowPunct w:val="0"/>
        <w:autoSpaceDE w:val="0"/>
        <w:snapToGrid w:val="0"/>
        <w:spacing w:line="400" w:lineRule="exact"/>
        <w:ind w:left="1320" w:hanging="840"/>
        <w:jc w:val="both"/>
        <w:rPr>
          <w:rFonts w:ascii="標楷體" w:eastAsia="標楷體" w:hAnsi="標楷體"/>
          <w:sz w:val="28"/>
          <w:szCs w:val="28"/>
        </w:rPr>
      </w:pPr>
      <w:r>
        <w:rPr>
          <w:rFonts w:ascii="標楷體" w:eastAsia="標楷體" w:hAnsi="標楷體"/>
          <w:sz w:val="28"/>
          <w:szCs w:val="28"/>
        </w:rPr>
        <w:t>（三）技術應用研究型：在技術應用方面有具體成果或事蹟者。</w:t>
      </w:r>
    </w:p>
    <w:p w:rsidR="002B67A6" w:rsidRPr="004C3A92" w:rsidRDefault="00FC01AE">
      <w:pPr>
        <w:tabs>
          <w:tab w:val="left" w:pos="5400"/>
        </w:tabs>
        <w:overflowPunct w:val="0"/>
        <w:autoSpaceDE w:val="0"/>
        <w:snapToGrid w:val="0"/>
        <w:spacing w:before="180" w:line="400" w:lineRule="exact"/>
        <w:ind w:left="840" w:hanging="840"/>
        <w:jc w:val="both"/>
      </w:pPr>
      <w:r>
        <w:rPr>
          <w:rFonts w:ascii="標楷體" w:eastAsia="標楷體" w:hAnsi="標楷體"/>
          <w:sz w:val="28"/>
          <w:szCs w:val="28"/>
        </w:rPr>
        <w:t>十一、教師可依自身之職級和專業屬性選擇適當之升等類型，亦得於不同升等途徑間轉換。各院、系</w:t>
      </w:r>
      <w:r w:rsidRPr="004C3A92">
        <w:rPr>
          <w:rFonts w:ascii="標楷體" w:eastAsia="標楷體" w:hAnsi="標楷體"/>
          <w:sz w:val="28"/>
          <w:szCs w:val="28"/>
        </w:rPr>
        <w:t>(所、中心或相當層級)得訂定更嚴謹之各類型升等審查基本門檻及外審制度，並提</w:t>
      </w:r>
      <w:proofErr w:type="gramStart"/>
      <w:r w:rsidRPr="004C3A92">
        <w:rPr>
          <w:rFonts w:ascii="標楷體" w:eastAsia="標楷體" w:hAnsi="標楷體"/>
          <w:sz w:val="28"/>
          <w:szCs w:val="28"/>
        </w:rPr>
        <w:t>上一級教評</w:t>
      </w:r>
      <w:proofErr w:type="gramEnd"/>
      <w:r w:rsidRPr="004C3A92">
        <w:rPr>
          <w:rFonts w:ascii="標楷體" w:eastAsia="標楷體" w:hAnsi="標楷體"/>
          <w:sz w:val="28"/>
          <w:szCs w:val="28"/>
        </w:rPr>
        <w:t>會審議通過。</w:t>
      </w:r>
    </w:p>
    <w:p w:rsidR="002B67A6" w:rsidRDefault="00FC01AE">
      <w:pPr>
        <w:tabs>
          <w:tab w:val="left" w:pos="5400"/>
        </w:tabs>
        <w:overflowPunct w:val="0"/>
        <w:autoSpaceDE w:val="0"/>
        <w:snapToGrid w:val="0"/>
        <w:spacing w:before="180" w:line="400" w:lineRule="exact"/>
        <w:ind w:left="840" w:hanging="840"/>
        <w:jc w:val="both"/>
      </w:pPr>
      <w:r w:rsidRPr="004C3A92">
        <w:rPr>
          <w:rFonts w:ascii="標楷體" w:eastAsia="標楷體" w:hAnsi="標楷體"/>
          <w:sz w:val="28"/>
          <w:szCs w:val="28"/>
        </w:rPr>
        <w:t>十二、系(所、中心或相當層級)主管</w:t>
      </w:r>
      <w:r>
        <w:rPr>
          <w:rFonts w:ascii="標楷體" w:eastAsia="標楷體" w:hAnsi="標楷體"/>
          <w:sz w:val="28"/>
          <w:szCs w:val="28"/>
        </w:rPr>
        <w:t>應於每年</w:t>
      </w:r>
      <w:r w:rsidR="004C3A92" w:rsidRPr="004C3A92">
        <w:rPr>
          <w:rFonts w:ascii="標楷體" w:eastAsia="標楷體" w:hAnsi="標楷體" w:hint="eastAsia"/>
          <w:color w:val="FF0000"/>
          <w:sz w:val="28"/>
          <w:szCs w:val="28"/>
          <w:u w:val="single"/>
        </w:rPr>
        <w:t>3</w:t>
      </w:r>
      <w:r w:rsidR="004C3A92">
        <w:rPr>
          <w:rFonts w:ascii="標楷體" w:eastAsia="標楷體" w:hAnsi="標楷體" w:hint="eastAsia"/>
          <w:sz w:val="28"/>
          <w:szCs w:val="28"/>
        </w:rPr>
        <w:t>月</w:t>
      </w:r>
      <w:r w:rsidR="004C3A92" w:rsidRPr="004C3A92">
        <w:rPr>
          <w:rFonts w:ascii="標楷體" w:eastAsia="標楷體" w:hAnsi="標楷體" w:hint="eastAsia"/>
          <w:color w:val="FF0000"/>
          <w:sz w:val="28"/>
          <w:szCs w:val="28"/>
          <w:u w:val="single"/>
        </w:rPr>
        <w:t>20</w:t>
      </w:r>
      <w:r w:rsidR="004C3A92">
        <w:rPr>
          <w:rFonts w:ascii="標楷體" w:eastAsia="標楷體" w:hAnsi="標楷體" w:hint="eastAsia"/>
          <w:sz w:val="28"/>
          <w:szCs w:val="28"/>
        </w:rPr>
        <w:t>日</w:t>
      </w:r>
      <w:r>
        <w:rPr>
          <w:rFonts w:ascii="標楷體" w:eastAsia="標楷體" w:hAnsi="標楷體"/>
          <w:sz w:val="28"/>
          <w:szCs w:val="28"/>
        </w:rPr>
        <w:t>前及10月15日前召開「教師評審委員會議」，並依本準則第三、四、五條之規定議決所屬擬於次學年度第一學期開始日（8月1日）及當學年度第二學期開始日（2月1日）升等教師人選，送院審查。</w:t>
      </w:r>
    </w:p>
    <w:p w:rsidR="002B67A6" w:rsidRPr="004C3A92" w:rsidRDefault="00FC01AE">
      <w:pPr>
        <w:tabs>
          <w:tab w:val="left" w:pos="5400"/>
        </w:tabs>
        <w:overflowPunct w:val="0"/>
        <w:autoSpaceDE w:val="0"/>
        <w:snapToGrid w:val="0"/>
        <w:spacing w:before="180" w:line="400" w:lineRule="exact"/>
        <w:ind w:left="840" w:hanging="840"/>
        <w:jc w:val="both"/>
      </w:pPr>
      <w:r>
        <w:rPr>
          <w:rFonts w:ascii="標楷體" w:eastAsia="標楷體" w:hAnsi="標楷體"/>
          <w:sz w:val="28"/>
          <w:szCs w:val="28"/>
        </w:rPr>
        <w:t>十三、教師評審委員會議，由各系</w:t>
      </w:r>
      <w:r w:rsidRPr="004C3A92">
        <w:rPr>
          <w:rFonts w:ascii="標楷體" w:eastAsia="標楷體" w:hAnsi="標楷體"/>
          <w:sz w:val="28"/>
          <w:szCs w:val="28"/>
        </w:rPr>
        <w:t>(所、中心或相當層級)主管召開並擔任主席，會議時須由該教評會委員二分之一以上出席始得開議，</w:t>
      </w:r>
      <w:r w:rsidRPr="004C3A92">
        <w:rPr>
          <w:rFonts w:ascii="標楷體" w:eastAsia="標楷體" w:hAnsi="標楷體"/>
          <w:kern w:val="0"/>
          <w:sz w:val="28"/>
          <w:szCs w:val="28"/>
        </w:rPr>
        <w:t>決議事項以出席委員二分之一以上同意為通過，但審議教師初聘、聘期、延長服務、升等，則需出席委員三分之二以上同意方為通過。另審議有關解聘、</w:t>
      </w:r>
      <w:proofErr w:type="gramStart"/>
      <w:r w:rsidRPr="004C3A92">
        <w:rPr>
          <w:rFonts w:ascii="標楷體" w:eastAsia="標楷體" w:hAnsi="標楷體"/>
          <w:kern w:val="0"/>
          <w:sz w:val="28"/>
          <w:szCs w:val="28"/>
        </w:rPr>
        <w:t>不</w:t>
      </w:r>
      <w:proofErr w:type="gramEnd"/>
      <w:r w:rsidRPr="004C3A92">
        <w:rPr>
          <w:rFonts w:ascii="標楷體" w:eastAsia="標楷體" w:hAnsi="標楷體"/>
          <w:kern w:val="0"/>
          <w:sz w:val="28"/>
          <w:szCs w:val="28"/>
        </w:rPr>
        <w:t>續聘、</w:t>
      </w:r>
      <w:proofErr w:type="gramStart"/>
      <w:r w:rsidRPr="004C3A92">
        <w:rPr>
          <w:rFonts w:ascii="標楷體" w:eastAsia="標楷體" w:hAnsi="標楷體"/>
          <w:kern w:val="0"/>
          <w:sz w:val="28"/>
          <w:szCs w:val="28"/>
        </w:rPr>
        <w:t>停聘及資</w:t>
      </w:r>
      <w:proofErr w:type="gramEnd"/>
      <w:r w:rsidRPr="004C3A92">
        <w:rPr>
          <w:rFonts w:ascii="標楷體" w:eastAsia="標楷體" w:hAnsi="標楷體"/>
          <w:kern w:val="0"/>
          <w:sz w:val="28"/>
          <w:szCs w:val="28"/>
        </w:rPr>
        <w:t>遣應依教師法規定程序辦理。</w:t>
      </w:r>
    </w:p>
    <w:p w:rsidR="002B67A6" w:rsidRDefault="00FC01AE">
      <w:pPr>
        <w:tabs>
          <w:tab w:val="left" w:pos="5400"/>
        </w:tabs>
        <w:overflowPunct w:val="0"/>
        <w:autoSpaceDE w:val="0"/>
        <w:snapToGrid w:val="0"/>
        <w:spacing w:before="180" w:line="400" w:lineRule="exact"/>
        <w:ind w:left="840" w:hanging="840"/>
        <w:jc w:val="both"/>
      </w:pPr>
      <w:r>
        <w:rPr>
          <w:rFonts w:ascii="標楷體" w:eastAsia="標楷體" w:hAnsi="標楷體"/>
          <w:sz w:val="28"/>
          <w:szCs w:val="28"/>
        </w:rPr>
        <w:t>十四、各院第一學期教師升等生效案應於每年</w:t>
      </w:r>
      <w:r w:rsidR="004C3A92" w:rsidRPr="004C3A92">
        <w:rPr>
          <w:rFonts w:ascii="標楷體" w:eastAsia="標楷體" w:hAnsi="標楷體" w:hint="eastAsia"/>
          <w:color w:val="FF0000"/>
          <w:kern w:val="0"/>
          <w:sz w:val="28"/>
          <w:szCs w:val="28"/>
          <w:u w:val="single"/>
        </w:rPr>
        <w:t>5</w:t>
      </w:r>
      <w:r w:rsidR="004C3A92">
        <w:rPr>
          <w:rFonts w:ascii="標楷體" w:eastAsia="標楷體" w:hAnsi="標楷體" w:hint="eastAsia"/>
          <w:kern w:val="0"/>
          <w:sz w:val="28"/>
          <w:szCs w:val="28"/>
        </w:rPr>
        <w:t>月</w:t>
      </w:r>
      <w:r w:rsidR="004C3A92" w:rsidRPr="004C3A92">
        <w:rPr>
          <w:rFonts w:ascii="標楷體" w:eastAsia="標楷體" w:hAnsi="標楷體" w:hint="eastAsia"/>
          <w:color w:val="FF0000"/>
          <w:kern w:val="0"/>
          <w:sz w:val="28"/>
          <w:szCs w:val="28"/>
          <w:u w:val="single"/>
        </w:rPr>
        <w:t>15</w:t>
      </w:r>
      <w:r w:rsidR="004C3A92">
        <w:rPr>
          <w:rFonts w:ascii="標楷體" w:eastAsia="標楷體" w:hAnsi="標楷體" w:hint="eastAsia"/>
          <w:kern w:val="0"/>
          <w:sz w:val="28"/>
          <w:szCs w:val="28"/>
        </w:rPr>
        <w:t>日</w:t>
      </w:r>
      <w:r>
        <w:rPr>
          <w:rFonts w:ascii="標楷體" w:eastAsia="標楷體" w:hAnsi="標楷體"/>
          <w:sz w:val="28"/>
          <w:szCs w:val="28"/>
        </w:rPr>
        <w:t>前，或第二學期教師升等生效案應於12月10日前，</w:t>
      </w:r>
      <w:proofErr w:type="gramStart"/>
      <w:r>
        <w:rPr>
          <w:rFonts w:ascii="標楷體" w:eastAsia="標楷體" w:hAnsi="標楷體"/>
          <w:sz w:val="28"/>
          <w:szCs w:val="28"/>
        </w:rPr>
        <w:t>繕</w:t>
      </w:r>
      <w:proofErr w:type="gramEnd"/>
      <w:r>
        <w:rPr>
          <w:rFonts w:ascii="標楷體" w:eastAsia="標楷體" w:hAnsi="標楷體"/>
          <w:sz w:val="28"/>
          <w:szCs w:val="28"/>
        </w:rPr>
        <w:t>造所屬教師荐升名冊一份，並備齊升等有關資料（含通過最近一次教師評鑑），送由人事室彙</w:t>
      </w:r>
      <w:proofErr w:type="gramStart"/>
      <w:r>
        <w:rPr>
          <w:rFonts w:ascii="標楷體" w:eastAsia="標楷體" w:hAnsi="標楷體"/>
          <w:sz w:val="28"/>
          <w:szCs w:val="28"/>
        </w:rPr>
        <w:t>整提送</w:t>
      </w:r>
      <w:proofErr w:type="gramEnd"/>
      <w:r>
        <w:rPr>
          <w:rFonts w:ascii="標楷體" w:eastAsia="標楷體" w:hAnsi="標楷體"/>
          <w:sz w:val="28"/>
          <w:szCs w:val="28"/>
        </w:rPr>
        <w:t>校教師評審委員會評審，逾期不予受理。</w:t>
      </w:r>
    </w:p>
    <w:p w:rsidR="002B67A6" w:rsidRDefault="00FC01AE">
      <w:pPr>
        <w:tabs>
          <w:tab w:val="left" w:pos="5400"/>
        </w:tabs>
        <w:overflowPunct w:val="0"/>
        <w:autoSpaceDE w:val="0"/>
        <w:snapToGrid w:val="0"/>
        <w:spacing w:before="180" w:line="400" w:lineRule="exact"/>
        <w:ind w:left="840" w:hanging="840"/>
        <w:jc w:val="both"/>
      </w:pPr>
      <w:r>
        <w:rPr>
          <w:rFonts w:ascii="標楷體" w:eastAsia="標楷體" w:hAnsi="標楷體"/>
          <w:sz w:val="28"/>
          <w:szCs w:val="28"/>
        </w:rPr>
        <w:t>十五、本校訂於每年</w:t>
      </w:r>
      <w:r w:rsidR="004C3A92" w:rsidRPr="004C3A92">
        <w:rPr>
          <w:rFonts w:ascii="標楷體" w:eastAsia="標楷體" w:hAnsi="標楷體" w:hint="eastAsia"/>
          <w:color w:val="FF0000"/>
          <w:sz w:val="28"/>
          <w:szCs w:val="28"/>
          <w:u w:val="single"/>
        </w:rPr>
        <w:t>6</w:t>
      </w:r>
      <w:r w:rsidR="004C3A92">
        <w:rPr>
          <w:rFonts w:ascii="標楷體" w:eastAsia="標楷體" w:hAnsi="標楷體" w:hint="eastAsia"/>
          <w:sz w:val="28"/>
          <w:szCs w:val="28"/>
        </w:rPr>
        <w:t>月</w:t>
      </w:r>
      <w:r w:rsidR="004C3A92" w:rsidRPr="004C3A92">
        <w:rPr>
          <w:rFonts w:ascii="標楷體" w:eastAsia="標楷體" w:hAnsi="標楷體" w:hint="eastAsia"/>
          <w:color w:val="FF0000"/>
          <w:sz w:val="28"/>
          <w:szCs w:val="28"/>
          <w:u w:val="single"/>
        </w:rPr>
        <w:t>下</w:t>
      </w:r>
      <w:r w:rsidR="004C3A92">
        <w:rPr>
          <w:rFonts w:ascii="標楷體" w:eastAsia="標楷體" w:hAnsi="標楷體" w:hint="eastAsia"/>
          <w:sz w:val="28"/>
          <w:szCs w:val="28"/>
        </w:rPr>
        <w:t>旬</w:t>
      </w:r>
      <w:r>
        <w:rPr>
          <w:rFonts w:ascii="標楷體" w:eastAsia="標楷體" w:hAnsi="標楷體"/>
          <w:sz w:val="28"/>
          <w:szCs w:val="28"/>
        </w:rPr>
        <w:t>前及</w:t>
      </w:r>
      <w:r w:rsidR="004C3A92" w:rsidRPr="00B34D44">
        <w:rPr>
          <w:rFonts w:ascii="標楷體" w:eastAsia="標楷體" w:hAnsi="標楷體" w:hint="eastAsia"/>
          <w:color w:val="000000" w:themeColor="text1"/>
          <w:sz w:val="28"/>
          <w:szCs w:val="28"/>
        </w:rPr>
        <w:t>1</w:t>
      </w:r>
      <w:r w:rsidR="004C3A92">
        <w:rPr>
          <w:rFonts w:ascii="標楷體" w:eastAsia="標楷體" w:hAnsi="標楷體" w:hint="eastAsia"/>
          <w:sz w:val="28"/>
          <w:szCs w:val="28"/>
        </w:rPr>
        <w:t>月</w:t>
      </w:r>
      <w:r w:rsidR="004C3A92" w:rsidRPr="004C3A92">
        <w:rPr>
          <w:rFonts w:ascii="標楷體" w:eastAsia="標楷體" w:hAnsi="標楷體" w:hint="eastAsia"/>
          <w:color w:val="FF0000"/>
          <w:sz w:val="28"/>
          <w:szCs w:val="28"/>
          <w:u w:val="single"/>
        </w:rPr>
        <w:t>中</w:t>
      </w:r>
      <w:r w:rsidR="004C3A92">
        <w:rPr>
          <w:rFonts w:ascii="標楷體" w:eastAsia="標楷體" w:hAnsi="標楷體" w:hint="eastAsia"/>
          <w:sz w:val="28"/>
          <w:szCs w:val="28"/>
        </w:rPr>
        <w:t>旬</w:t>
      </w:r>
      <w:r>
        <w:rPr>
          <w:rFonts w:ascii="標楷體" w:eastAsia="標楷體" w:hAnsi="標楷體"/>
          <w:sz w:val="28"/>
          <w:szCs w:val="28"/>
        </w:rPr>
        <w:t>前召開校教評會，就各</w:t>
      </w:r>
      <w:proofErr w:type="gramStart"/>
      <w:r>
        <w:rPr>
          <w:rFonts w:ascii="標楷體" w:eastAsia="標楷體" w:hAnsi="標楷體"/>
          <w:sz w:val="28"/>
          <w:szCs w:val="28"/>
        </w:rPr>
        <w:t>院擬升等</w:t>
      </w:r>
      <w:proofErr w:type="gramEnd"/>
      <w:r>
        <w:rPr>
          <w:rFonts w:ascii="標楷體" w:eastAsia="標楷體" w:hAnsi="標楷體"/>
          <w:sz w:val="28"/>
          <w:szCs w:val="28"/>
        </w:rPr>
        <w:t>教師評審。</w:t>
      </w:r>
    </w:p>
    <w:p w:rsidR="002B67A6" w:rsidRPr="004C3A92" w:rsidRDefault="00FC01AE">
      <w:pPr>
        <w:tabs>
          <w:tab w:val="left" w:pos="5400"/>
        </w:tabs>
        <w:overflowPunct w:val="0"/>
        <w:autoSpaceDE w:val="0"/>
        <w:snapToGrid w:val="0"/>
        <w:spacing w:before="120" w:line="400" w:lineRule="exact"/>
        <w:ind w:left="882" w:hanging="882"/>
        <w:jc w:val="both"/>
      </w:pPr>
      <w:r>
        <w:rPr>
          <w:rFonts w:ascii="標楷體" w:eastAsia="標楷體" w:hAnsi="標楷體"/>
          <w:sz w:val="28"/>
          <w:szCs w:val="28"/>
        </w:rPr>
        <w:t>十六、教師升等著作（教學成就報告、藝術創作、技術報</w:t>
      </w:r>
      <w:r w:rsidRPr="004C3A92">
        <w:rPr>
          <w:rFonts w:ascii="標楷體" w:eastAsia="標楷體" w:hAnsi="標楷體"/>
          <w:sz w:val="28"/>
          <w:szCs w:val="28"/>
        </w:rPr>
        <w:t>告等）由</w:t>
      </w:r>
      <w:proofErr w:type="gramStart"/>
      <w:r w:rsidRPr="004C3A92">
        <w:rPr>
          <w:rFonts w:ascii="標楷體" w:eastAsia="標楷體" w:hAnsi="標楷體"/>
          <w:sz w:val="28"/>
          <w:szCs w:val="28"/>
        </w:rPr>
        <w:t>院級教評</w:t>
      </w:r>
      <w:proofErr w:type="gramEnd"/>
      <w:r w:rsidRPr="004C3A92">
        <w:rPr>
          <w:rFonts w:ascii="標楷體" w:eastAsia="標楷體" w:hAnsi="標楷體"/>
          <w:sz w:val="28"/>
          <w:szCs w:val="28"/>
        </w:rPr>
        <w:t>會送校外有關專家學者評審，並以一次為限。</w:t>
      </w:r>
    </w:p>
    <w:p w:rsidR="002B67A6" w:rsidRPr="004C3A92" w:rsidRDefault="00FC01AE">
      <w:pPr>
        <w:tabs>
          <w:tab w:val="left" w:pos="5400"/>
        </w:tabs>
        <w:overflowPunct w:val="0"/>
        <w:autoSpaceDE w:val="0"/>
        <w:snapToGrid w:val="0"/>
        <w:spacing w:before="120" w:line="400" w:lineRule="exact"/>
        <w:ind w:left="840"/>
        <w:jc w:val="both"/>
        <w:rPr>
          <w:rFonts w:ascii="標楷體" w:eastAsia="標楷體" w:hAnsi="標楷體"/>
          <w:sz w:val="28"/>
          <w:szCs w:val="28"/>
        </w:rPr>
      </w:pPr>
      <w:r w:rsidRPr="004C3A92">
        <w:rPr>
          <w:rFonts w:ascii="標楷體" w:eastAsia="標楷體" w:hAnsi="標楷體"/>
          <w:sz w:val="28"/>
          <w:szCs w:val="28"/>
        </w:rPr>
        <w:t>各學院辦理外審依「國立彰化師範大學各學院辦理著作外審作業注意事項」辦理。</w:t>
      </w:r>
    </w:p>
    <w:p w:rsidR="002B67A6" w:rsidRPr="004C3A92" w:rsidRDefault="00FC01AE">
      <w:pPr>
        <w:tabs>
          <w:tab w:val="left" w:pos="5400"/>
        </w:tabs>
        <w:overflowPunct w:val="0"/>
        <w:autoSpaceDE w:val="0"/>
        <w:snapToGrid w:val="0"/>
        <w:spacing w:before="120" w:line="400" w:lineRule="exact"/>
        <w:ind w:left="840"/>
        <w:jc w:val="both"/>
        <w:rPr>
          <w:rFonts w:ascii="標楷體" w:eastAsia="標楷體" w:hAnsi="標楷體"/>
          <w:sz w:val="28"/>
          <w:szCs w:val="28"/>
        </w:rPr>
      </w:pPr>
      <w:r w:rsidRPr="004C3A92">
        <w:rPr>
          <w:rFonts w:ascii="標楷體" w:eastAsia="標楷體" w:hAnsi="標楷體"/>
          <w:sz w:val="28"/>
          <w:szCs w:val="28"/>
        </w:rPr>
        <w:t>除因藝術創作展覽作品評審外，</w:t>
      </w:r>
      <w:proofErr w:type="gramStart"/>
      <w:r w:rsidRPr="004C3A92">
        <w:rPr>
          <w:rFonts w:ascii="標楷體" w:eastAsia="標楷體" w:hAnsi="標楷體"/>
          <w:sz w:val="28"/>
          <w:szCs w:val="28"/>
        </w:rPr>
        <w:t>各級教評</w:t>
      </w:r>
      <w:proofErr w:type="gramEnd"/>
      <w:r w:rsidRPr="004C3A92">
        <w:rPr>
          <w:rFonts w:ascii="標楷體" w:eastAsia="標楷體" w:hAnsi="標楷體"/>
          <w:sz w:val="28"/>
          <w:szCs w:val="28"/>
        </w:rPr>
        <w:t>會應於升等審查前開會決議教</w:t>
      </w:r>
      <w:r w:rsidRPr="004C3A92">
        <w:rPr>
          <w:rFonts w:ascii="標楷體" w:eastAsia="標楷體" w:hAnsi="標楷體"/>
          <w:sz w:val="28"/>
          <w:szCs w:val="28"/>
        </w:rPr>
        <w:lastRenderedPageBreak/>
        <w:t>學、服務與輔導、研究成績百分比，並決定通過之基本分數後，再依相關法令規定及解釋審議教師升等案。</w:t>
      </w:r>
    </w:p>
    <w:p w:rsidR="002B67A6" w:rsidRDefault="00FC01AE">
      <w:pPr>
        <w:tabs>
          <w:tab w:val="left" w:pos="5400"/>
        </w:tabs>
        <w:overflowPunct w:val="0"/>
        <w:autoSpaceDE w:val="0"/>
        <w:snapToGrid w:val="0"/>
        <w:spacing w:before="120" w:line="400" w:lineRule="exact"/>
        <w:ind w:left="840"/>
        <w:jc w:val="both"/>
      </w:pPr>
      <w:proofErr w:type="gramStart"/>
      <w:r w:rsidRPr="004C3A92">
        <w:rPr>
          <w:rFonts w:ascii="標楷體" w:eastAsia="標楷體" w:hAnsi="標楷體"/>
          <w:sz w:val="28"/>
          <w:szCs w:val="28"/>
        </w:rPr>
        <w:t>各級教評</w:t>
      </w:r>
      <w:proofErr w:type="gramEnd"/>
      <w:r w:rsidRPr="004C3A92">
        <w:rPr>
          <w:rFonts w:ascii="標楷體" w:eastAsia="標楷體" w:hAnsi="標楷體"/>
          <w:sz w:val="28"/>
          <w:szCs w:val="28"/>
        </w:rPr>
        <w:t>會對升等評審之決定應有具體理由，院、系(所、中心或相當層級)教評會必要時得予申請人以書面或口頭辨明之機會，評審未通過者應以</w:t>
      </w:r>
      <w:r>
        <w:rPr>
          <w:rFonts w:ascii="標楷體" w:eastAsia="標楷體" w:hAnsi="標楷體"/>
          <w:sz w:val="28"/>
          <w:szCs w:val="28"/>
        </w:rPr>
        <w:t>本校名義書面告知當事人，並說明不服時之救濟管道。</w:t>
      </w:r>
    </w:p>
    <w:p w:rsidR="002B67A6"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Pr>
          <w:rFonts w:ascii="標楷體" w:eastAsia="標楷體" w:hAnsi="標楷體"/>
          <w:sz w:val="28"/>
          <w:szCs w:val="28"/>
        </w:rPr>
        <w:t>十七、本校教師評審委員會審定之各級教師，經校長核定後應自升等生效該學期開始之日起三個月內，主動備齊教師評審委員會審定之升等著作暨教師資格送</w:t>
      </w:r>
      <w:proofErr w:type="gramStart"/>
      <w:r>
        <w:rPr>
          <w:rFonts w:ascii="標楷體" w:eastAsia="標楷體" w:hAnsi="標楷體"/>
          <w:sz w:val="28"/>
          <w:szCs w:val="28"/>
        </w:rPr>
        <w:t>審表證</w:t>
      </w:r>
      <w:proofErr w:type="gramEnd"/>
      <w:r>
        <w:rPr>
          <w:rFonts w:ascii="標楷體" w:eastAsia="標楷體" w:hAnsi="標楷體"/>
          <w:sz w:val="28"/>
          <w:szCs w:val="28"/>
        </w:rPr>
        <w:t>磁片，逕送本校人事室陳請校長呈報教育部審查，並俟教育部審定頒發教師資格證書到校，即由本校人事室簽請校長換發聘書及改敘薪級。</w:t>
      </w:r>
    </w:p>
    <w:p w:rsidR="002B67A6" w:rsidRDefault="00FC01AE">
      <w:pPr>
        <w:tabs>
          <w:tab w:val="left" w:pos="5400"/>
        </w:tabs>
        <w:overflowPunct w:val="0"/>
        <w:autoSpaceDE w:val="0"/>
        <w:snapToGrid w:val="0"/>
        <w:spacing w:before="180" w:line="400" w:lineRule="exact"/>
        <w:ind w:left="840"/>
        <w:jc w:val="both"/>
        <w:rPr>
          <w:rFonts w:ascii="標楷體" w:eastAsia="標楷體" w:hAnsi="標楷體"/>
          <w:sz w:val="28"/>
          <w:szCs w:val="28"/>
        </w:rPr>
      </w:pPr>
      <w:r>
        <w:rPr>
          <w:rFonts w:ascii="標楷體" w:eastAsia="標楷體" w:hAnsi="標楷體"/>
          <w:sz w:val="28"/>
          <w:szCs w:val="28"/>
        </w:rPr>
        <w:t>前項升等教師資格送審資料如不能於三個月內</w:t>
      </w:r>
      <w:proofErr w:type="gramStart"/>
      <w:r>
        <w:rPr>
          <w:rFonts w:ascii="標楷體" w:eastAsia="標楷體" w:hAnsi="標楷體"/>
          <w:sz w:val="28"/>
          <w:szCs w:val="28"/>
        </w:rPr>
        <w:t>送校報部</w:t>
      </w:r>
      <w:proofErr w:type="gramEnd"/>
      <w:r>
        <w:rPr>
          <w:rFonts w:ascii="標楷體" w:eastAsia="標楷體" w:hAnsi="標楷體"/>
          <w:sz w:val="28"/>
          <w:szCs w:val="28"/>
        </w:rPr>
        <w:t>因而導致本身權益受損時，概</w:t>
      </w:r>
      <w:proofErr w:type="gramStart"/>
      <w:r>
        <w:rPr>
          <w:rFonts w:ascii="標楷體" w:eastAsia="標楷體" w:hAnsi="標楷體"/>
          <w:sz w:val="28"/>
          <w:szCs w:val="28"/>
        </w:rPr>
        <w:t>由該升</w:t>
      </w:r>
      <w:proofErr w:type="gramEnd"/>
      <w:r>
        <w:rPr>
          <w:rFonts w:ascii="標楷體" w:eastAsia="標楷體" w:hAnsi="標楷體"/>
          <w:sz w:val="28"/>
          <w:szCs w:val="28"/>
        </w:rPr>
        <w:t>等教師行負責，不得提出異議。</w:t>
      </w:r>
    </w:p>
    <w:p w:rsidR="002B67A6"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Pr>
          <w:rFonts w:ascii="標楷體" w:eastAsia="標楷體" w:hAnsi="標楷體"/>
          <w:sz w:val="28"/>
          <w:szCs w:val="28"/>
        </w:rPr>
        <w:t>十八、本校教師因擔任校外重要公職而辭職者，得由單位主管簽請校長核定，於其欲重返本校時，可經該單位兩位教師聯署，簽請校長延聘，不需</w:t>
      </w:r>
      <w:proofErr w:type="gramStart"/>
      <w:r>
        <w:rPr>
          <w:rFonts w:ascii="標楷體" w:eastAsia="標楷體" w:hAnsi="標楷體"/>
          <w:sz w:val="28"/>
          <w:szCs w:val="28"/>
        </w:rPr>
        <w:t>再經教評</w:t>
      </w:r>
      <w:proofErr w:type="gramEnd"/>
      <w:r>
        <w:rPr>
          <w:rFonts w:ascii="標楷體" w:eastAsia="標楷體" w:hAnsi="標楷體"/>
          <w:sz w:val="28"/>
          <w:szCs w:val="28"/>
        </w:rPr>
        <w:t>會之審議。</w:t>
      </w:r>
    </w:p>
    <w:p w:rsidR="002B67A6" w:rsidRDefault="00FC01AE">
      <w:pPr>
        <w:tabs>
          <w:tab w:val="left" w:pos="5400"/>
        </w:tabs>
        <w:overflowPunct w:val="0"/>
        <w:autoSpaceDE w:val="0"/>
        <w:snapToGrid w:val="0"/>
        <w:spacing w:before="180" w:line="400" w:lineRule="exact"/>
        <w:ind w:left="882" w:hanging="882"/>
        <w:jc w:val="both"/>
        <w:rPr>
          <w:rFonts w:ascii="標楷體" w:eastAsia="標楷體" w:hAnsi="標楷體"/>
          <w:sz w:val="28"/>
          <w:szCs w:val="28"/>
        </w:rPr>
      </w:pPr>
      <w:r>
        <w:rPr>
          <w:rFonts w:ascii="標楷體" w:eastAsia="標楷體" w:hAnsi="標楷體"/>
          <w:sz w:val="28"/>
          <w:szCs w:val="28"/>
        </w:rPr>
        <w:t>十九、教育人員任用條例86年3月21日修正生效前已取得講師、助教證書之現職教師，如繼續任教而未中斷者，得依原教師分級之規定申請升等，但審查程序仍應依本準則辦理。</w:t>
      </w:r>
    </w:p>
    <w:p w:rsidR="002B67A6" w:rsidRPr="004C3A92" w:rsidRDefault="00FC01AE">
      <w:pPr>
        <w:tabs>
          <w:tab w:val="left" w:pos="5400"/>
        </w:tabs>
        <w:overflowPunct w:val="0"/>
        <w:autoSpaceDE w:val="0"/>
        <w:snapToGrid w:val="0"/>
        <w:spacing w:before="180" w:line="400" w:lineRule="exact"/>
        <w:ind w:left="881" w:hanging="31"/>
        <w:jc w:val="both"/>
      </w:pPr>
      <w:r>
        <w:rPr>
          <w:rFonts w:ascii="標楷體" w:eastAsia="標楷體" w:hAnsi="標楷體"/>
          <w:sz w:val="28"/>
          <w:szCs w:val="28"/>
        </w:rPr>
        <w:t>本校教師進修取得博士學位時</w:t>
      </w:r>
      <w:r w:rsidRPr="004C3A92">
        <w:rPr>
          <w:rFonts w:ascii="標楷體" w:eastAsia="標楷體" w:hAnsi="標楷體"/>
          <w:sz w:val="28"/>
          <w:szCs w:val="28"/>
        </w:rPr>
        <w:t>，如於當學期結束前，檢具畢業證書或國外臨時畢業證明書及相關表件申請學位升等，並經所屬系(所、中心或相當層級)受理，提該系(所、中心或相當層級)教評會決議通過其學位升等案，得以次學期開始日</w:t>
      </w:r>
      <w:proofErr w:type="gramStart"/>
      <w:r w:rsidRPr="004C3A92">
        <w:rPr>
          <w:rFonts w:ascii="標楷體" w:eastAsia="標楷體" w:hAnsi="標楷體"/>
          <w:sz w:val="28"/>
          <w:szCs w:val="28"/>
        </w:rPr>
        <w:t>為起資年月</w:t>
      </w:r>
      <w:proofErr w:type="gramEnd"/>
      <w:r w:rsidRPr="004C3A92">
        <w:rPr>
          <w:rFonts w:ascii="標楷體" w:eastAsia="標楷體" w:hAnsi="標楷體"/>
          <w:sz w:val="28"/>
          <w:szCs w:val="28"/>
        </w:rPr>
        <w:t>。</w:t>
      </w:r>
    </w:p>
    <w:p w:rsidR="002B67A6" w:rsidRDefault="00FC01AE">
      <w:pPr>
        <w:tabs>
          <w:tab w:val="left" w:pos="5400"/>
        </w:tabs>
        <w:overflowPunct w:val="0"/>
        <w:autoSpaceDE w:val="0"/>
        <w:snapToGrid w:val="0"/>
        <w:spacing w:before="180" w:line="400" w:lineRule="exact"/>
        <w:ind w:left="908" w:hanging="882"/>
        <w:jc w:val="both"/>
        <w:rPr>
          <w:rFonts w:ascii="標楷體" w:eastAsia="標楷體" w:hAnsi="標楷體"/>
          <w:sz w:val="28"/>
          <w:szCs w:val="28"/>
        </w:rPr>
      </w:pPr>
      <w:r>
        <w:rPr>
          <w:rFonts w:ascii="標楷體" w:eastAsia="標楷體" w:hAnsi="標楷體"/>
          <w:sz w:val="28"/>
          <w:szCs w:val="28"/>
        </w:rPr>
        <w:t>二十、教育人員任用條例86年3月21日修正生效前聘任之助教具有碩士學位具有專業課程之實際需要，得由其所屬單位提經三級教師評審委員會議通過後，陳請校長核聘為講師。</w:t>
      </w:r>
    </w:p>
    <w:p w:rsidR="002B67A6" w:rsidRDefault="00FC01AE">
      <w:pPr>
        <w:tabs>
          <w:tab w:val="left" w:pos="5400"/>
        </w:tabs>
        <w:overflowPunct w:val="0"/>
        <w:autoSpaceDE w:val="0"/>
        <w:snapToGrid w:val="0"/>
        <w:spacing w:before="180" w:line="400" w:lineRule="exact"/>
        <w:ind w:left="840"/>
        <w:jc w:val="both"/>
        <w:rPr>
          <w:rFonts w:ascii="標楷體" w:eastAsia="標楷體" w:hAnsi="標楷體"/>
          <w:sz w:val="28"/>
          <w:szCs w:val="28"/>
        </w:rPr>
      </w:pPr>
      <w:r>
        <w:rPr>
          <w:rFonts w:ascii="標楷體" w:eastAsia="標楷體" w:hAnsi="標楷體"/>
          <w:sz w:val="28"/>
          <w:szCs w:val="28"/>
        </w:rPr>
        <w:t>教育人員任用條例86年3月21日修正生效前聘任之助教於國內外進修博士學位返校服務，其博士論文送請校外專家學者審查成績優良，依第一項程序聘為助理教授，應屬新聘人員。</w:t>
      </w:r>
    </w:p>
    <w:p w:rsidR="002B67A6"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Pr>
          <w:rFonts w:ascii="標楷體" w:eastAsia="標楷體" w:hAnsi="標楷體"/>
          <w:sz w:val="28"/>
          <w:szCs w:val="28"/>
        </w:rPr>
        <w:t>二十一、教育人員任用條例86年3月21日修正生效前聘任之講師於國內外進修博士學位返校服務，如教學年資未中斷，博士論文送請校外專家學者審查成</w:t>
      </w:r>
      <w:r>
        <w:rPr>
          <w:rFonts w:ascii="標楷體" w:eastAsia="標楷體" w:hAnsi="標楷體"/>
          <w:sz w:val="28"/>
          <w:szCs w:val="28"/>
        </w:rPr>
        <w:lastRenderedPageBreak/>
        <w:t>績優良，得由其所屬單位提經三級教評會審議通過，陳請校長核聘為助理教授。</w:t>
      </w:r>
    </w:p>
    <w:p w:rsidR="002B67A6" w:rsidRDefault="00FC01AE">
      <w:pPr>
        <w:tabs>
          <w:tab w:val="left" w:pos="5400"/>
        </w:tabs>
        <w:overflowPunct w:val="0"/>
        <w:autoSpaceDE w:val="0"/>
        <w:snapToGrid w:val="0"/>
        <w:spacing w:before="180" w:line="400" w:lineRule="exact"/>
        <w:ind w:left="1080"/>
        <w:jc w:val="both"/>
        <w:rPr>
          <w:rFonts w:ascii="標楷體" w:eastAsia="標楷體" w:hAnsi="標楷體"/>
          <w:sz w:val="28"/>
          <w:szCs w:val="28"/>
        </w:rPr>
      </w:pPr>
      <w:r>
        <w:rPr>
          <w:rFonts w:ascii="標楷體" w:eastAsia="標楷體" w:hAnsi="標楷體"/>
          <w:sz w:val="28"/>
          <w:szCs w:val="28"/>
        </w:rPr>
        <w:t>前項人員亦可檢送博士論文及其他著作依副教授水準送外審查成績優良者，經三級教評會審議通過後，陳請校長核聘為副教授。</w:t>
      </w:r>
    </w:p>
    <w:p w:rsidR="002B67A6"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Pr>
          <w:rFonts w:ascii="標楷體" w:eastAsia="標楷體" w:hAnsi="標楷體"/>
          <w:sz w:val="28"/>
          <w:szCs w:val="28"/>
        </w:rPr>
        <w:t>二十二、本校教師在職</w:t>
      </w:r>
      <w:proofErr w:type="gramStart"/>
      <w:r>
        <w:rPr>
          <w:rFonts w:ascii="標楷體" w:eastAsia="標楷體" w:hAnsi="標楷體"/>
          <w:sz w:val="28"/>
          <w:szCs w:val="28"/>
        </w:rPr>
        <w:t>期間，</w:t>
      </w:r>
      <w:proofErr w:type="gramEnd"/>
      <w:r>
        <w:rPr>
          <w:rFonts w:ascii="標楷體" w:eastAsia="標楷體" w:hAnsi="標楷體"/>
          <w:sz w:val="28"/>
          <w:szCs w:val="28"/>
        </w:rPr>
        <w:t>因國內外研究、進修、講學、借調等，未實際在校任教者，不予申請升等，但</w:t>
      </w:r>
      <w:proofErr w:type="gramStart"/>
      <w:r>
        <w:rPr>
          <w:rFonts w:ascii="標楷體" w:eastAsia="標楷體" w:hAnsi="標楷體"/>
          <w:sz w:val="28"/>
          <w:szCs w:val="28"/>
        </w:rPr>
        <w:t>本校薦送國</w:t>
      </w:r>
      <w:proofErr w:type="gramEnd"/>
      <w:r>
        <w:rPr>
          <w:rFonts w:ascii="標楷體" w:eastAsia="標楷體" w:hAnsi="標楷體"/>
          <w:sz w:val="28"/>
          <w:szCs w:val="28"/>
        </w:rPr>
        <w:t>外研究者不在此限。</w:t>
      </w:r>
    </w:p>
    <w:p w:rsidR="002B67A6" w:rsidRDefault="00FC01AE">
      <w:pPr>
        <w:tabs>
          <w:tab w:val="left" w:pos="5400"/>
        </w:tabs>
        <w:overflowPunct w:val="0"/>
        <w:autoSpaceDE w:val="0"/>
        <w:snapToGrid w:val="0"/>
        <w:spacing w:before="180" w:line="400" w:lineRule="exact"/>
        <w:ind w:left="1120" w:hanging="1120"/>
        <w:jc w:val="both"/>
        <w:rPr>
          <w:rFonts w:ascii="標楷體" w:eastAsia="標楷體" w:hAnsi="標楷體"/>
          <w:sz w:val="28"/>
          <w:szCs w:val="28"/>
        </w:rPr>
      </w:pPr>
      <w:r>
        <w:rPr>
          <w:rFonts w:ascii="標楷體" w:eastAsia="標楷體" w:hAnsi="標楷體"/>
          <w:sz w:val="28"/>
          <w:szCs w:val="28"/>
        </w:rPr>
        <w:t>二十三、本校教師變更服務教學單位，須經原任單位及新任單位教評會通過，並循新任單位提送所屬院教評會審議。</w:t>
      </w:r>
    </w:p>
    <w:p w:rsidR="002B67A6" w:rsidRPr="004C3A92" w:rsidRDefault="00FC01AE">
      <w:pPr>
        <w:tabs>
          <w:tab w:val="left" w:pos="5400"/>
        </w:tabs>
        <w:overflowPunct w:val="0"/>
        <w:autoSpaceDE w:val="0"/>
        <w:snapToGrid w:val="0"/>
        <w:spacing w:before="120" w:line="400" w:lineRule="exact"/>
        <w:ind w:left="1152" w:firstLine="2"/>
        <w:jc w:val="both"/>
      </w:pPr>
      <w:r w:rsidRPr="004C3A92">
        <w:rPr>
          <w:rFonts w:ascii="標楷體" w:eastAsia="標楷體" w:hAnsi="標楷體"/>
          <w:sz w:val="28"/>
          <w:szCs w:val="28"/>
        </w:rPr>
        <w:t>變更服務單位期滿，</w:t>
      </w:r>
      <w:proofErr w:type="gramStart"/>
      <w:r w:rsidRPr="004C3A92">
        <w:rPr>
          <w:rFonts w:ascii="標楷體" w:eastAsia="標楷體" w:hAnsi="標楷體"/>
          <w:sz w:val="28"/>
          <w:szCs w:val="28"/>
        </w:rPr>
        <w:t>擬歸建</w:t>
      </w:r>
      <w:proofErr w:type="gramEnd"/>
      <w:r w:rsidRPr="004C3A92">
        <w:rPr>
          <w:rFonts w:ascii="標楷體" w:eastAsia="標楷體" w:hAnsi="標楷體"/>
          <w:sz w:val="28"/>
          <w:szCs w:val="28"/>
        </w:rPr>
        <w:t>原單位教師，依行政程序辦理歸建事宜，</w:t>
      </w:r>
      <w:proofErr w:type="gramStart"/>
      <w:r w:rsidRPr="004C3A92">
        <w:rPr>
          <w:rFonts w:ascii="標楷體" w:eastAsia="標楷體" w:hAnsi="標楷體"/>
          <w:sz w:val="28"/>
          <w:szCs w:val="28"/>
        </w:rPr>
        <w:t>免經教</w:t>
      </w:r>
      <w:proofErr w:type="gramEnd"/>
      <w:r w:rsidRPr="004C3A92">
        <w:rPr>
          <w:rFonts w:ascii="標楷體" w:eastAsia="標楷體" w:hAnsi="標楷體"/>
          <w:sz w:val="28"/>
          <w:szCs w:val="28"/>
        </w:rPr>
        <w:t>評會審議。</w:t>
      </w:r>
    </w:p>
    <w:p w:rsidR="002B67A6" w:rsidRDefault="00FC01AE">
      <w:pPr>
        <w:tabs>
          <w:tab w:val="left" w:pos="5400"/>
        </w:tabs>
        <w:overflowPunct w:val="0"/>
        <w:autoSpaceDE w:val="0"/>
        <w:snapToGrid w:val="0"/>
        <w:spacing w:before="180" w:line="400" w:lineRule="exact"/>
        <w:ind w:left="1120" w:hanging="1120"/>
        <w:jc w:val="both"/>
      </w:pPr>
      <w:r>
        <w:rPr>
          <w:rFonts w:ascii="標楷體" w:eastAsia="標楷體" w:hAnsi="標楷體"/>
          <w:sz w:val="28"/>
          <w:szCs w:val="28"/>
        </w:rPr>
        <w:t>二十四、本校新聘教師如已經教育部審定教師資格者，依教育部審定教師資格等級聘任為原則；如已取得高於教育部審定教師資格學歷或尚未審定</w:t>
      </w:r>
      <w:proofErr w:type="gramStart"/>
      <w:r>
        <w:rPr>
          <w:rFonts w:ascii="標楷體" w:eastAsia="標楷體" w:hAnsi="標楷體"/>
          <w:sz w:val="28"/>
          <w:szCs w:val="28"/>
        </w:rPr>
        <w:t>者均依</w:t>
      </w:r>
      <w:proofErr w:type="gramEnd"/>
      <w:r>
        <w:rPr>
          <w:rFonts w:ascii="標楷體" w:eastAsia="標楷體" w:hAnsi="標楷體"/>
          <w:sz w:val="28"/>
          <w:szCs w:val="28"/>
        </w:rPr>
        <w:t>「教育人員任用條例」第十六條、第十六條之一、第十七條、第十八條等相關規定，</w:t>
      </w:r>
      <w:proofErr w:type="gramStart"/>
      <w:r>
        <w:rPr>
          <w:rFonts w:ascii="標楷體" w:eastAsia="標楷體" w:hAnsi="標楷體"/>
          <w:sz w:val="28"/>
          <w:szCs w:val="28"/>
        </w:rPr>
        <w:t>由提聘單</w:t>
      </w:r>
      <w:proofErr w:type="gramEnd"/>
      <w:r>
        <w:rPr>
          <w:rFonts w:ascii="標楷體" w:eastAsia="標楷體" w:hAnsi="標楷體"/>
          <w:sz w:val="28"/>
          <w:szCs w:val="28"/>
        </w:rPr>
        <w:t>位提送三級教評會審查通過後，陳請校長核聘。</w:t>
      </w:r>
      <w:proofErr w:type="gramStart"/>
      <w:r>
        <w:rPr>
          <w:rFonts w:ascii="標楷體" w:eastAsia="標楷體" w:hAnsi="標楷體"/>
          <w:sz w:val="28"/>
          <w:szCs w:val="28"/>
        </w:rPr>
        <w:t>院聘教師</w:t>
      </w:r>
      <w:proofErr w:type="gramEnd"/>
      <w:r>
        <w:rPr>
          <w:rFonts w:ascii="標楷體" w:eastAsia="標楷體" w:hAnsi="標楷體"/>
          <w:sz w:val="28"/>
          <w:szCs w:val="28"/>
        </w:rPr>
        <w:t>免經</w:t>
      </w:r>
      <w:proofErr w:type="gramStart"/>
      <w:r>
        <w:rPr>
          <w:rFonts w:ascii="標楷體" w:eastAsia="標楷體" w:hAnsi="標楷體"/>
          <w:sz w:val="28"/>
          <w:szCs w:val="28"/>
        </w:rPr>
        <w:t>系級教</w:t>
      </w:r>
      <w:proofErr w:type="gramEnd"/>
      <w:r>
        <w:rPr>
          <w:rFonts w:ascii="標楷體" w:eastAsia="標楷體" w:hAnsi="標楷體"/>
          <w:sz w:val="28"/>
          <w:szCs w:val="28"/>
        </w:rPr>
        <w:t>評會審議。</w:t>
      </w:r>
    </w:p>
    <w:p w:rsidR="002B67A6" w:rsidRDefault="00FC01AE">
      <w:pPr>
        <w:tabs>
          <w:tab w:val="left" w:pos="5400"/>
        </w:tabs>
        <w:overflowPunct w:val="0"/>
        <w:autoSpaceDE w:val="0"/>
        <w:snapToGrid w:val="0"/>
        <w:spacing w:before="180" w:line="400" w:lineRule="exact"/>
        <w:ind w:left="1080"/>
        <w:jc w:val="both"/>
        <w:rPr>
          <w:rFonts w:ascii="標楷體" w:eastAsia="標楷體" w:hAnsi="標楷體"/>
          <w:sz w:val="28"/>
          <w:szCs w:val="28"/>
        </w:rPr>
      </w:pPr>
      <w:r>
        <w:rPr>
          <w:rFonts w:ascii="標楷體" w:eastAsia="標楷體" w:hAnsi="標楷體"/>
          <w:sz w:val="28"/>
          <w:szCs w:val="28"/>
        </w:rPr>
        <w:t>新聘教師以低於經教育部已審定教師資格等級聘任者，其回復教育部審定教師資格等級聘任之程序（含所須論文篇數及外審程序），比照教師以論文申請升等程序辦理，但不受任職年資限制，唯其代表作應以任職本校名義發表。</w:t>
      </w:r>
    </w:p>
    <w:p w:rsidR="002B67A6" w:rsidRPr="004C3A92" w:rsidRDefault="00FC01AE">
      <w:pPr>
        <w:tabs>
          <w:tab w:val="left" w:pos="5400"/>
        </w:tabs>
        <w:overflowPunct w:val="0"/>
        <w:autoSpaceDE w:val="0"/>
        <w:snapToGrid w:val="0"/>
        <w:spacing w:before="120" w:line="400" w:lineRule="exact"/>
        <w:ind w:left="1156" w:hanging="1156"/>
        <w:jc w:val="both"/>
      </w:pPr>
      <w:r>
        <w:rPr>
          <w:rFonts w:ascii="標楷體" w:eastAsia="標楷體" w:hAnsi="標楷體"/>
          <w:sz w:val="28"/>
          <w:szCs w:val="28"/>
        </w:rPr>
        <w:t>二十五、依本準則以</w:t>
      </w:r>
      <w:proofErr w:type="gramStart"/>
      <w:r>
        <w:rPr>
          <w:rFonts w:ascii="標楷體" w:eastAsia="標楷體" w:hAnsi="標楷體"/>
          <w:sz w:val="28"/>
          <w:szCs w:val="28"/>
        </w:rPr>
        <w:t>博士學位提聘為</w:t>
      </w:r>
      <w:proofErr w:type="gramEnd"/>
      <w:r>
        <w:rPr>
          <w:rFonts w:ascii="標楷體" w:eastAsia="標楷體" w:hAnsi="標楷體"/>
          <w:sz w:val="28"/>
          <w:szCs w:val="28"/>
        </w:rPr>
        <w:t>助理教授者或以碩士</w:t>
      </w:r>
      <w:proofErr w:type="gramStart"/>
      <w:r>
        <w:rPr>
          <w:rFonts w:ascii="標楷體" w:eastAsia="標楷體" w:hAnsi="標楷體"/>
          <w:sz w:val="28"/>
          <w:szCs w:val="28"/>
        </w:rPr>
        <w:t>學位提聘</w:t>
      </w:r>
      <w:proofErr w:type="gramEnd"/>
      <w:r>
        <w:rPr>
          <w:rFonts w:ascii="標楷體" w:eastAsia="標楷體" w:hAnsi="標楷體"/>
          <w:sz w:val="28"/>
          <w:szCs w:val="28"/>
        </w:rPr>
        <w:t>為講師者，其學位論文須送校外</w:t>
      </w:r>
      <w:r w:rsidRPr="004C3A92">
        <w:rPr>
          <w:rFonts w:ascii="標楷體" w:eastAsia="標楷體" w:hAnsi="標楷體"/>
          <w:sz w:val="28"/>
          <w:szCs w:val="28"/>
        </w:rPr>
        <w:t>專家學者審查成績優良，始</w:t>
      </w:r>
      <w:proofErr w:type="gramStart"/>
      <w:r w:rsidRPr="004C3A92">
        <w:rPr>
          <w:rFonts w:ascii="標楷體" w:eastAsia="標楷體" w:hAnsi="標楷體"/>
          <w:sz w:val="28"/>
          <w:szCs w:val="28"/>
        </w:rPr>
        <w:t>得發</w:t>
      </w:r>
      <w:proofErr w:type="gramEnd"/>
      <w:r w:rsidRPr="004C3A92">
        <w:rPr>
          <w:rFonts w:ascii="標楷體" w:eastAsia="標楷體" w:hAnsi="標楷體"/>
          <w:sz w:val="28"/>
          <w:szCs w:val="28"/>
        </w:rPr>
        <w:t>聘。所送專家學者教師人數及通過標準由各系(所、中心或相當層級)訂定，並提</w:t>
      </w:r>
      <w:proofErr w:type="gramStart"/>
      <w:r w:rsidRPr="004C3A92">
        <w:rPr>
          <w:rFonts w:ascii="標楷體" w:eastAsia="標楷體" w:hAnsi="標楷體"/>
          <w:sz w:val="28"/>
          <w:szCs w:val="28"/>
        </w:rPr>
        <w:t>上一級教評</w:t>
      </w:r>
      <w:proofErr w:type="gramEnd"/>
      <w:r w:rsidRPr="004C3A92">
        <w:rPr>
          <w:rFonts w:ascii="標楷體" w:eastAsia="標楷體" w:hAnsi="標楷體"/>
          <w:sz w:val="28"/>
          <w:szCs w:val="28"/>
        </w:rPr>
        <w:t>會審議通過，但其人數，以論文送審者不宜少於5人、以藝術作品送審者不宜少於7人、</w:t>
      </w:r>
      <w:proofErr w:type="gramStart"/>
      <w:r w:rsidRPr="004C3A92">
        <w:rPr>
          <w:rFonts w:ascii="標楷體" w:eastAsia="標楷體" w:hAnsi="標楷體"/>
          <w:sz w:val="28"/>
          <w:szCs w:val="28"/>
        </w:rPr>
        <w:t>院聘教</w:t>
      </w:r>
      <w:proofErr w:type="gramEnd"/>
      <w:r w:rsidRPr="004C3A92">
        <w:rPr>
          <w:rFonts w:ascii="標楷體" w:eastAsia="標楷體" w:hAnsi="標楷體"/>
          <w:sz w:val="28"/>
          <w:szCs w:val="28"/>
        </w:rPr>
        <w:t>師送審者不宜少於6人，前述外審委員三分之二以上評分達基本分數以上，始為通過。</w:t>
      </w:r>
    </w:p>
    <w:p w:rsidR="002B67A6" w:rsidRPr="004C3A92" w:rsidRDefault="00FC01AE">
      <w:pPr>
        <w:tabs>
          <w:tab w:val="left" w:pos="5400"/>
        </w:tabs>
        <w:overflowPunct w:val="0"/>
        <w:autoSpaceDE w:val="0"/>
        <w:snapToGrid w:val="0"/>
        <w:spacing w:before="120" w:line="400" w:lineRule="exact"/>
        <w:ind w:left="1120" w:hanging="1120"/>
        <w:jc w:val="both"/>
      </w:pPr>
      <w:r w:rsidRPr="004C3A92">
        <w:rPr>
          <w:rFonts w:ascii="標楷體" w:eastAsia="標楷體" w:hAnsi="標楷體"/>
          <w:sz w:val="28"/>
          <w:szCs w:val="28"/>
        </w:rPr>
        <w:t>二十六、</w:t>
      </w:r>
      <w:proofErr w:type="gramStart"/>
      <w:r w:rsidRPr="004C3A92">
        <w:rPr>
          <w:rFonts w:ascii="標楷體" w:eastAsia="標楷體" w:hAnsi="標楷體"/>
          <w:sz w:val="28"/>
          <w:szCs w:val="28"/>
        </w:rPr>
        <w:t>各級教評</w:t>
      </w:r>
      <w:proofErr w:type="gramEnd"/>
      <w:r w:rsidRPr="004C3A92">
        <w:rPr>
          <w:rFonts w:ascii="標楷體" w:eastAsia="標楷體" w:hAnsi="標楷體"/>
          <w:sz w:val="28"/>
          <w:szCs w:val="28"/>
        </w:rPr>
        <w:t>會</w:t>
      </w:r>
      <w:r w:rsidRPr="004C3A92">
        <w:rPr>
          <w:rFonts w:ascii="標楷體" w:eastAsia="標楷體" w:hAnsi="標楷體"/>
          <w:kern w:val="0"/>
          <w:sz w:val="28"/>
          <w:szCs w:val="28"/>
        </w:rPr>
        <w:t>委員及外審</w:t>
      </w:r>
      <w:r w:rsidRPr="004C3A92">
        <w:rPr>
          <w:rFonts w:ascii="標楷體" w:eastAsia="標楷體" w:hAnsi="標楷體"/>
          <w:sz w:val="28"/>
          <w:szCs w:val="28"/>
        </w:rPr>
        <w:t>專家學者與送審人有下列關係之一者，應予以迴避：</w:t>
      </w:r>
    </w:p>
    <w:p w:rsidR="002B67A6" w:rsidRPr="004C3A92" w:rsidRDefault="00FC01AE">
      <w:pPr>
        <w:snapToGrid w:val="0"/>
        <w:spacing w:line="400" w:lineRule="exact"/>
        <w:ind w:left="1843" w:hanging="602"/>
        <w:jc w:val="both"/>
      </w:pPr>
      <w:r w:rsidRPr="004C3A92">
        <w:rPr>
          <w:rFonts w:ascii="標楷體" w:eastAsia="標楷體" w:hAnsi="標楷體"/>
          <w:kern w:val="0"/>
          <w:sz w:val="28"/>
          <w:szCs w:val="28"/>
        </w:rPr>
        <w:t>(</w:t>
      </w:r>
      <w:proofErr w:type="gramStart"/>
      <w:r w:rsidRPr="004C3A92">
        <w:rPr>
          <w:rFonts w:ascii="標楷體" w:eastAsia="標楷體" w:hAnsi="標楷體"/>
          <w:kern w:val="0"/>
          <w:sz w:val="28"/>
          <w:szCs w:val="28"/>
        </w:rPr>
        <w:t>一</w:t>
      </w:r>
      <w:proofErr w:type="gramEnd"/>
      <w:r w:rsidRPr="004C3A92">
        <w:rPr>
          <w:rFonts w:ascii="標楷體" w:eastAsia="標楷體" w:hAnsi="標楷體"/>
          <w:kern w:val="0"/>
          <w:sz w:val="28"/>
          <w:szCs w:val="28"/>
        </w:rPr>
        <w:t>)現有或曾有指導博士、碩士學位論文之師生關係。</w:t>
      </w:r>
    </w:p>
    <w:p w:rsidR="002B67A6" w:rsidRPr="004C3A92" w:rsidRDefault="00FC01AE">
      <w:pPr>
        <w:snapToGrid w:val="0"/>
        <w:spacing w:line="400" w:lineRule="exact"/>
        <w:ind w:left="1843" w:hanging="602"/>
        <w:jc w:val="both"/>
      </w:pPr>
      <w:r w:rsidRPr="004C3A92">
        <w:rPr>
          <w:rFonts w:ascii="標楷體" w:eastAsia="標楷體" w:hAnsi="標楷體"/>
          <w:kern w:val="0"/>
          <w:sz w:val="28"/>
          <w:szCs w:val="28"/>
        </w:rPr>
        <w:t>(二)本人、配偶、前配偶、四親等內之血親或三親等內之姻親，或曾有此關係。</w:t>
      </w:r>
    </w:p>
    <w:p w:rsidR="002B67A6" w:rsidRPr="004C3A92" w:rsidRDefault="00FC01AE">
      <w:pPr>
        <w:snapToGrid w:val="0"/>
        <w:spacing w:line="400" w:lineRule="exact"/>
        <w:ind w:left="1843" w:hanging="602"/>
        <w:jc w:val="both"/>
        <w:rPr>
          <w:rFonts w:ascii="標楷體" w:eastAsia="標楷體" w:hAnsi="標楷體"/>
          <w:kern w:val="0"/>
          <w:sz w:val="28"/>
          <w:szCs w:val="28"/>
        </w:rPr>
      </w:pPr>
      <w:r w:rsidRPr="004C3A92">
        <w:rPr>
          <w:rFonts w:ascii="標楷體" w:eastAsia="標楷體" w:hAnsi="標楷體"/>
          <w:kern w:val="0"/>
          <w:sz w:val="28"/>
          <w:szCs w:val="28"/>
        </w:rPr>
        <w:lastRenderedPageBreak/>
        <w:t>(三)近三年發表論文或研究成果之共同參與研究者或共同著作人。</w:t>
      </w:r>
    </w:p>
    <w:p w:rsidR="002B67A6" w:rsidRPr="004C3A92" w:rsidRDefault="00FC01AE">
      <w:pPr>
        <w:snapToGrid w:val="0"/>
        <w:spacing w:line="400" w:lineRule="exact"/>
        <w:ind w:left="1843" w:hanging="602"/>
        <w:jc w:val="both"/>
        <w:rPr>
          <w:rFonts w:ascii="標楷體" w:eastAsia="標楷體" w:hAnsi="標楷體"/>
          <w:kern w:val="0"/>
          <w:sz w:val="28"/>
          <w:szCs w:val="28"/>
        </w:rPr>
      </w:pPr>
      <w:r w:rsidRPr="004C3A92">
        <w:rPr>
          <w:rFonts w:ascii="標楷體" w:eastAsia="標楷體" w:hAnsi="標楷體"/>
          <w:kern w:val="0"/>
          <w:sz w:val="28"/>
          <w:szCs w:val="28"/>
        </w:rPr>
        <w:t>(四)審查該案件時共同執行研究計畫。</w:t>
      </w:r>
    </w:p>
    <w:p w:rsidR="002B67A6" w:rsidRPr="004C3A92" w:rsidRDefault="00FC01AE">
      <w:pPr>
        <w:snapToGrid w:val="0"/>
        <w:spacing w:line="400" w:lineRule="exact"/>
        <w:ind w:left="1843" w:hanging="602"/>
        <w:jc w:val="both"/>
        <w:rPr>
          <w:rFonts w:ascii="標楷體" w:eastAsia="標楷體" w:hAnsi="標楷體"/>
          <w:kern w:val="0"/>
          <w:sz w:val="28"/>
          <w:szCs w:val="28"/>
        </w:rPr>
      </w:pPr>
      <w:r w:rsidRPr="004C3A92">
        <w:rPr>
          <w:rFonts w:ascii="標楷體" w:eastAsia="標楷體" w:hAnsi="標楷體"/>
          <w:kern w:val="0"/>
          <w:sz w:val="28"/>
          <w:szCs w:val="28"/>
        </w:rPr>
        <w:t>(五)現為或曾為該案件之代理人或輔佐人。</w:t>
      </w:r>
    </w:p>
    <w:p w:rsidR="002B67A6" w:rsidRPr="004C3A92" w:rsidRDefault="00FC01AE">
      <w:pPr>
        <w:snapToGrid w:val="0"/>
        <w:spacing w:line="400" w:lineRule="exact"/>
        <w:ind w:left="1843" w:hanging="602"/>
        <w:jc w:val="both"/>
        <w:rPr>
          <w:rFonts w:ascii="標楷體" w:eastAsia="標楷體" w:hAnsi="標楷體"/>
          <w:kern w:val="0"/>
          <w:sz w:val="28"/>
          <w:szCs w:val="28"/>
        </w:rPr>
      </w:pPr>
      <w:r w:rsidRPr="004C3A92">
        <w:rPr>
          <w:rFonts w:ascii="標楷體" w:eastAsia="標楷體" w:hAnsi="標楷體"/>
          <w:kern w:val="0"/>
          <w:sz w:val="28"/>
          <w:szCs w:val="28"/>
        </w:rPr>
        <w:t>(六)依其他法規應予迴避。</w:t>
      </w:r>
    </w:p>
    <w:p w:rsidR="002B67A6" w:rsidRPr="004C3A92" w:rsidRDefault="00FC01AE">
      <w:pPr>
        <w:snapToGrid w:val="0"/>
        <w:spacing w:line="400" w:lineRule="exact"/>
        <w:ind w:left="1276" w:hanging="35"/>
        <w:jc w:val="both"/>
      </w:pPr>
      <w:r w:rsidRPr="004C3A92">
        <w:rPr>
          <w:rFonts w:ascii="標楷體" w:eastAsia="標楷體" w:hAnsi="標楷體"/>
          <w:kern w:val="0"/>
          <w:sz w:val="28"/>
          <w:szCs w:val="28"/>
        </w:rPr>
        <w:t>有前項應迴避之情形而</w:t>
      </w:r>
      <w:proofErr w:type="gramStart"/>
      <w:r w:rsidRPr="004C3A92">
        <w:rPr>
          <w:rFonts w:ascii="標楷體" w:eastAsia="標楷體" w:hAnsi="標楷體"/>
          <w:kern w:val="0"/>
          <w:sz w:val="28"/>
          <w:szCs w:val="28"/>
        </w:rPr>
        <w:t>不</w:t>
      </w:r>
      <w:proofErr w:type="gramEnd"/>
      <w:r w:rsidRPr="004C3A92">
        <w:rPr>
          <w:rFonts w:ascii="標楷體" w:eastAsia="標楷體" w:hAnsi="標楷體"/>
          <w:kern w:val="0"/>
          <w:sz w:val="28"/>
          <w:szCs w:val="28"/>
        </w:rPr>
        <w:t>自行迴避，或有具體事實</w:t>
      </w:r>
      <w:proofErr w:type="gramStart"/>
      <w:r w:rsidRPr="004C3A92">
        <w:rPr>
          <w:rFonts w:ascii="標楷體" w:eastAsia="標楷體" w:hAnsi="標楷體"/>
          <w:kern w:val="0"/>
          <w:sz w:val="28"/>
          <w:szCs w:val="28"/>
        </w:rPr>
        <w:t>足認教</w:t>
      </w:r>
      <w:proofErr w:type="gramEnd"/>
      <w:r w:rsidRPr="004C3A92">
        <w:rPr>
          <w:rFonts w:ascii="標楷體" w:eastAsia="標楷體" w:hAnsi="標楷體"/>
          <w:kern w:val="0"/>
          <w:sz w:val="28"/>
          <w:szCs w:val="28"/>
        </w:rPr>
        <w:t>評會委員就審議案件有偏頗之虞者，主席得經會議決議請該委員迴避，當事人亦得向本委員會申請該委員迴避，並應舉其原因事實。</w:t>
      </w:r>
    </w:p>
    <w:p w:rsidR="002B67A6" w:rsidRPr="004C3A92" w:rsidRDefault="00FC01AE">
      <w:pPr>
        <w:tabs>
          <w:tab w:val="left" w:pos="5400"/>
        </w:tabs>
        <w:overflowPunct w:val="0"/>
        <w:autoSpaceDE w:val="0"/>
        <w:snapToGrid w:val="0"/>
        <w:spacing w:before="180" w:line="400" w:lineRule="exact"/>
        <w:jc w:val="both"/>
      </w:pPr>
      <w:r w:rsidRPr="004C3A92">
        <w:rPr>
          <w:rFonts w:ascii="標楷體" w:eastAsia="標楷體" w:hAnsi="標楷體"/>
          <w:sz w:val="28"/>
          <w:szCs w:val="28"/>
        </w:rPr>
        <w:t>二十七、本校講師職級升等助理教授職級者，</w:t>
      </w:r>
      <w:r w:rsidRPr="004C3A92">
        <w:rPr>
          <w:rFonts w:ascii="標楷體" w:eastAsia="標楷體" w:hAnsi="標楷體"/>
          <w:bCs/>
          <w:sz w:val="28"/>
          <w:szCs w:val="28"/>
        </w:rPr>
        <w:t>需符合下列各項規定：</w:t>
      </w:r>
    </w:p>
    <w:p w:rsidR="002B67A6" w:rsidRPr="004C3A92"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4C3A92">
        <w:rPr>
          <w:rFonts w:ascii="標楷體" w:eastAsia="標楷體" w:hAnsi="標楷體"/>
          <w:bCs/>
          <w:sz w:val="28"/>
          <w:szCs w:val="28"/>
        </w:rPr>
        <w:t>(</w:t>
      </w:r>
      <w:proofErr w:type="gramStart"/>
      <w:r w:rsidRPr="004C3A92">
        <w:rPr>
          <w:rFonts w:ascii="標楷體" w:eastAsia="標楷體" w:hAnsi="標楷體"/>
          <w:bCs/>
          <w:sz w:val="28"/>
          <w:szCs w:val="28"/>
        </w:rPr>
        <w:t>一</w:t>
      </w:r>
      <w:proofErr w:type="gramEnd"/>
      <w:r w:rsidRPr="004C3A92">
        <w:rPr>
          <w:rFonts w:ascii="標楷體" w:eastAsia="標楷體" w:hAnsi="標楷體"/>
          <w:bCs/>
          <w:sz w:val="28"/>
          <w:szCs w:val="28"/>
        </w:rPr>
        <w:t>)教師申請升等時，應提出至少四篇在學術期刊或研討會發表之論文。</w:t>
      </w:r>
    </w:p>
    <w:p w:rsidR="002B67A6" w:rsidRPr="004C3A92"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4C3A92">
        <w:rPr>
          <w:rFonts w:ascii="標楷體" w:eastAsia="標楷體" w:hAnsi="標楷體"/>
          <w:bCs/>
          <w:sz w:val="28"/>
          <w:szCs w:val="28"/>
        </w:rPr>
        <w:t>(二)申請升等教師可由前款論文選擇一篇為代表作，或另提已公開出版並符合教育部</w:t>
      </w:r>
      <w:proofErr w:type="gramStart"/>
      <w:r w:rsidRPr="004C3A92">
        <w:rPr>
          <w:rFonts w:ascii="標楷體" w:eastAsia="標楷體" w:hAnsi="標楷體"/>
          <w:bCs/>
          <w:sz w:val="28"/>
          <w:szCs w:val="28"/>
        </w:rPr>
        <w:t>規</w:t>
      </w:r>
      <w:proofErr w:type="gramEnd"/>
      <w:r w:rsidRPr="004C3A92">
        <w:rPr>
          <w:rFonts w:ascii="標楷體" w:eastAsia="標楷體" w:hAnsi="標楷體"/>
          <w:bCs/>
          <w:sz w:val="28"/>
          <w:szCs w:val="28"/>
        </w:rPr>
        <w:t>之學術專書著作一本為代表作。</w:t>
      </w:r>
    </w:p>
    <w:p w:rsidR="002B67A6" w:rsidRPr="004C3A92" w:rsidRDefault="00FC01AE">
      <w:pPr>
        <w:pStyle w:val="a5"/>
        <w:overflowPunct w:val="0"/>
        <w:autoSpaceDE w:val="0"/>
        <w:snapToGrid w:val="0"/>
        <w:spacing w:after="0" w:line="400" w:lineRule="exact"/>
        <w:ind w:left="1660" w:hanging="700"/>
        <w:jc w:val="both"/>
        <w:rPr>
          <w:rFonts w:ascii="標楷體" w:eastAsia="標楷體" w:hAnsi="標楷體"/>
          <w:bCs/>
          <w:sz w:val="28"/>
          <w:szCs w:val="28"/>
        </w:rPr>
      </w:pPr>
      <w:r w:rsidRPr="004C3A92">
        <w:rPr>
          <w:rFonts w:ascii="標楷體" w:eastAsia="標楷體" w:hAnsi="標楷體"/>
          <w:bCs/>
          <w:sz w:val="28"/>
          <w:szCs w:val="28"/>
        </w:rPr>
        <w:t>(三)通過最近一次教師評鑑。</w:t>
      </w:r>
    </w:p>
    <w:p w:rsidR="002B67A6" w:rsidRPr="004C3A92" w:rsidRDefault="00FC01AE">
      <w:pPr>
        <w:pStyle w:val="a5"/>
        <w:overflowPunct w:val="0"/>
        <w:autoSpaceDE w:val="0"/>
        <w:snapToGrid w:val="0"/>
        <w:spacing w:before="180" w:after="0" w:line="400" w:lineRule="exact"/>
        <w:ind w:left="960"/>
        <w:jc w:val="both"/>
      </w:pPr>
      <w:r w:rsidRPr="004C3A92">
        <w:rPr>
          <w:rFonts w:ascii="標楷體" w:eastAsia="標楷體" w:hAnsi="標楷體"/>
          <w:bCs/>
          <w:sz w:val="28"/>
          <w:szCs w:val="28"/>
        </w:rPr>
        <w:t>藝術創作類教師</w:t>
      </w:r>
      <w:proofErr w:type="gramStart"/>
      <w:r w:rsidRPr="004C3A92">
        <w:rPr>
          <w:rFonts w:ascii="標楷體" w:eastAsia="標楷體" w:hAnsi="標楷體"/>
          <w:bCs/>
          <w:sz w:val="28"/>
          <w:szCs w:val="28"/>
        </w:rPr>
        <w:t>升等悉依</w:t>
      </w:r>
      <w:proofErr w:type="gramEnd"/>
      <w:r w:rsidRPr="004C3A92">
        <w:rPr>
          <w:rFonts w:ascii="標楷體" w:eastAsia="標楷體" w:hAnsi="標楷體"/>
          <w:bCs/>
          <w:sz w:val="28"/>
          <w:szCs w:val="28"/>
        </w:rPr>
        <w:t>教育部頒「藝術類科教師以作品及成就證明送審教師資格審查範圍及基準」規定辦理。</w:t>
      </w:r>
    </w:p>
    <w:p w:rsidR="002B67A6" w:rsidRDefault="00FC01AE">
      <w:pPr>
        <w:tabs>
          <w:tab w:val="left" w:pos="5400"/>
        </w:tabs>
        <w:overflowPunct w:val="0"/>
        <w:autoSpaceDE w:val="0"/>
        <w:snapToGrid w:val="0"/>
        <w:spacing w:before="180" w:line="400" w:lineRule="exact"/>
        <w:ind w:left="1120" w:hanging="1120"/>
        <w:jc w:val="both"/>
      </w:pPr>
      <w:r w:rsidRPr="004C3A92">
        <w:rPr>
          <w:rFonts w:ascii="標楷體" w:eastAsia="標楷體" w:hAnsi="標楷體"/>
          <w:sz w:val="28"/>
          <w:szCs w:val="28"/>
        </w:rPr>
        <w:t>二十八、本校兼任教師、專技人員之聘任、升等比照本準則辦理。兼任教師於本</w:t>
      </w:r>
      <w:r>
        <w:rPr>
          <w:rFonts w:ascii="標楷體" w:eastAsia="標楷體" w:hAnsi="標楷體"/>
          <w:sz w:val="28"/>
          <w:szCs w:val="28"/>
        </w:rPr>
        <w:t>校實際任教滿5個學期，始得申請送審教師資格證書；兼任教師如連續2年（4個學期）未授課，</w:t>
      </w:r>
      <w:proofErr w:type="gramStart"/>
      <w:r>
        <w:rPr>
          <w:rFonts w:ascii="標楷體" w:eastAsia="標楷體" w:hAnsi="標楷體"/>
          <w:sz w:val="28"/>
          <w:szCs w:val="28"/>
        </w:rPr>
        <w:t>再聘時依</w:t>
      </w:r>
      <w:proofErr w:type="gramEnd"/>
      <w:r>
        <w:rPr>
          <w:rFonts w:ascii="標楷體" w:eastAsia="標楷體" w:hAnsi="標楷體"/>
          <w:sz w:val="28"/>
          <w:szCs w:val="28"/>
        </w:rPr>
        <w:t>新聘程序辦理。</w:t>
      </w:r>
    </w:p>
    <w:p w:rsidR="002B67A6" w:rsidRDefault="00FC01AE">
      <w:pPr>
        <w:tabs>
          <w:tab w:val="left" w:pos="5400"/>
        </w:tabs>
        <w:overflowPunct w:val="0"/>
        <w:autoSpaceDE w:val="0"/>
        <w:snapToGrid w:val="0"/>
        <w:spacing w:before="180" w:line="400" w:lineRule="exact"/>
        <w:ind w:left="1176" w:hanging="1176"/>
        <w:jc w:val="both"/>
        <w:rPr>
          <w:rFonts w:ascii="標楷體" w:eastAsia="標楷體" w:hAnsi="標楷體"/>
          <w:sz w:val="28"/>
          <w:szCs w:val="28"/>
        </w:rPr>
      </w:pPr>
      <w:r>
        <w:rPr>
          <w:rFonts w:ascii="標楷體" w:eastAsia="標楷體" w:hAnsi="標楷體"/>
          <w:sz w:val="28"/>
          <w:szCs w:val="28"/>
        </w:rPr>
        <w:t>二十九、本校研究人員之聘任、升等程序比照本準則辦理。其審查準則另訂之。</w:t>
      </w:r>
    </w:p>
    <w:p w:rsidR="002B67A6" w:rsidRDefault="00FC01AE">
      <w:pPr>
        <w:widowControl/>
      </w:pPr>
      <w:r>
        <w:rPr>
          <w:rFonts w:ascii="標楷體" w:eastAsia="標楷體" w:hAnsi="標楷體"/>
          <w:sz w:val="28"/>
          <w:szCs w:val="28"/>
        </w:rPr>
        <w:t>三十、本準則經校教評會及校務會議通過，陳請校長核定後施行，修正時亦同。</w:t>
      </w:r>
    </w:p>
    <w:p w:rsidR="002B67A6" w:rsidRDefault="00FC01AE">
      <w:pPr>
        <w:pageBreakBefore/>
        <w:rPr>
          <w:rFonts w:ascii="Times New Roman" w:eastAsia="標楷體" w:hAnsi="Times New Roman"/>
          <w:sz w:val="20"/>
          <w:szCs w:val="20"/>
        </w:rPr>
      </w:pPr>
      <w:r>
        <w:rPr>
          <w:rFonts w:ascii="Times New Roman" w:eastAsia="標楷體" w:hAnsi="Times New Roman"/>
          <w:sz w:val="20"/>
          <w:szCs w:val="20"/>
        </w:rPr>
        <w:lastRenderedPageBreak/>
        <w:t>附表</w:t>
      </w:r>
      <w:proofErr w:type="gramStart"/>
      <w:r>
        <w:rPr>
          <w:rFonts w:ascii="Times New Roman" w:eastAsia="標楷體" w:hAnsi="Times New Roman"/>
          <w:sz w:val="20"/>
          <w:szCs w:val="20"/>
        </w:rPr>
        <w:t>一</w:t>
      </w:r>
      <w:proofErr w:type="gramEnd"/>
    </w:p>
    <w:p w:rsidR="002B67A6" w:rsidRDefault="00FC01AE">
      <w:pPr>
        <w:spacing w:after="180"/>
        <w:jc w:val="center"/>
        <w:rPr>
          <w:rFonts w:ascii="Times New Roman" w:eastAsia="標楷體" w:hAnsi="Times New Roman"/>
          <w:sz w:val="28"/>
          <w:szCs w:val="28"/>
        </w:rPr>
      </w:pPr>
      <w:r>
        <w:rPr>
          <w:rFonts w:ascii="Times New Roman" w:eastAsia="標楷體" w:hAnsi="Times New Roman"/>
          <w:sz w:val="28"/>
          <w:szCs w:val="28"/>
        </w:rPr>
        <w:t>學術研究成果點數</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計表</w:t>
      </w:r>
    </w:p>
    <w:tbl>
      <w:tblPr>
        <w:tblW w:w="10558" w:type="dxa"/>
        <w:jc w:val="center"/>
        <w:tblCellMar>
          <w:left w:w="10" w:type="dxa"/>
          <w:right w:w="10" w:type="dxa"/>
        </w:tblCellMar>
        <w:tblLook w:val="04A0" w:firstRow="1" w:lastRow="0" w:firstColumn="1" w:lastColumn="0" w:noHBand="0" w:noVBand="1"/>
      </w:tblPr>
      <w:tblGrid>
        <w:gridCol w:w="1980"/>
        <w:gridCol w:w="4736"/>
        <w:gridCol w:w="1701"/>
        <w:gridCol w:w="2141"/>
      </w:tblGrid>
      <w:tr w:rsidR="002B67A6">
        <w:trPr>
          <w:trHeight w:val="348"/>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項目</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研究成果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點數</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備註</w:t>
            </w:r>
          </w:p>
        </w:tc>
      </w:tr>
      <w:tr w:rsidR="002B67A6">
        <w:trPr>
          <w:trHeight w:val="707"/>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著作成果</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40</w:t>
            </w:r>
            <w:r>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kern w:val="0"/>
              </w:rPr>
              <w:t>1.1</w:t>
            </w:r>
            <w:r>
              <w:rPr>
                <w:rFonts w:ascii="Times New Roman" w:eastAsia="標楷體" w:hAnsi="Times New Roman"/>
                <w:kern w:val="0"/>
              </w:rPr>
              <w:t>近</w:t>
            </w:r>
            <w:r>
              <w:rPr>
                <w:rFonts w:ascii="Times New Roman" w:eastAsia="標楷體" w:hAnsi="Times New Roman"/>
                <w:kern w:val="0"/>
              </w:rPr>
              <w:t>7</w:t>
            </w:r>
            <w:r>
              <w:rPr>
                <w:rFonts w:ascii="Times New Roman" w:eastAsia="標楷體" w:hAnsi="Times New Roman"/>
                <w:kern w:val="0"/>
              </w:rPr>
              <w:t>年刊登於</w:t>
            </w:r>
            <w:r>
              <w:rPr>
                <w:rFonts w:ascii="Times New Roman" w:eastAsia="標楷體" w:hAnsi="Times New Roman"/>
              </w:rPr>
              <w:t>SCI</w:t>
            </w:r>
            <w:r>
              <w:rPr>
                <w:rFonts w:ascii="Times New Roman" w:eastAsia="標楷體" w:hAnsi="Times New Roman"/>
                <w:kern w:val="0"/>
              </w:rPr>
              <w:t>(E)</w:t>
            </w:r>
            <w:r>
              <w:rPr>
                <w:rFonts w:ascii="Times New Roman" w:eastAsia="標楷體" w:hAnsi="Times New Roman"/>
              </w:rPr>
              <w:t>、</w:t>
            </w:r>
            <w:r>
              <w:rPr>
                <w:rFonts w:ascii="Times New Roman" w:eastAsia="標楷體" w:hAnsi="Times New Roman"/>
                <w:szCs w:val="20"/>
              </w:rPr>
              <w:t>SSCI</w:t>
            </w:r>
            <w:r>
              <w:rPr>
                <w:rFonts w:ascii="Times New Roman" w:eastAsia="標楷體" w:hAnsi="Times New Roman"/>
              </w:rPr>
              <w:t>、</w:t>
            </w:r>
            <w:r>
              <w:rPr>
                <w:rFonts w:ascii="Times New Roman" w:eastAsia="標楷體" w:hAnsi="Times New Roman"/>
              </w:rPr>
              <w:t>TSSCI</w:t>
            </w:r>
            <w:r>
              <w:rPr>
                <w:rFonts w:ascii="Times New Roman" w:eastAsia="標楷體" w:hAnsi="Times New Roman"/>
              </w:rPr>
              <w:t>（第一級與第二級）、</w:t>
            </w:r>
            <w:r>
              <w:rPr>
                <w:rFonts w:ascii="Times New Roman" w:eastAsia="標楷體" w:hAnsi="Times New Roman"/>
              </w:rPr>
              <w:t>THCI</w:t>
            </w:r>
            <w:r>
              <w:rPr>
                <w:rFonts w:ascii="Times New Roman" w:eastAsia="標楷體" w:hAnsi="Times New Roman"/>
              </w:rPr>
              <w:t>（第一級與第二級）、</w:t>
            </w:r>
            <w:r>
              <w:rPr>
                <w:rFonts w:ascii="Times New Roman" w:eastAsia="標楷體" w:hAnsi="Times New Roman"/>
              </w:rPr>
              <w:t>A&amp;HCI</w:t>
            </w:r>
            <w:r>
              <w:rPr>
                <w:rFonts w:ascii="Times New Roman" w:eastAsia="標楷體" w:hAnsi="Times New Roman"/>
              </w:rPr>
              <w:t>所列之期刊論文</w:t>
            </w:r>
            <w:r>
              <w:rPr>
                <w:rFonts w:ascii="Times New Roman" w:eastAsia="標楷體" w:hAnsi="Times New Roman"/>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szCs w:val="20"/>
              </w:rPr>
              <w:t>SSCI</w:t>
            </w:r>
            <w:r>
              <w:rPr>
                <w:rFonts w:ascii="Times New Roman" w:eastAsia="標楷體" w:hAnsi="Times New Roman"/>
              </w:rPr>
              <w:t>每篇</w:t>
            </w:r>
            <w:r>
              <w:rPr>
                <w:rFonts w:ascii="Times New Roman" w:eastAsia="標楷體" w:hAnsi="Times New Roman"/>
              </w:rPr>
              <w:t>30</w:t>
            </w:r>
            <w:r>
              <w:rPr>
                <w:rFonts w:ascii="Times New Roman" w:eastAsia="標楷體" w:hAnsi="Times New Roman"/>
              </w:rPr>
              <w:t>點，其他每篇</w:t>
            </w:r>
            <w:r>
              <w:rPr>
                <w:rFonts w:ascii="Times New Roman" w:eastAsia="標楷體" w:hAnsi="Times New Roman"/>
              </w:rPr>
              <w:t>15</w:t>
            </w:r>
            <w:r>
              <w:rPr>
                <w:rFonts w:ascii="Times New Roman" w:eastAsia="標楷體" w:hAnsi="Times New Roman"/>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1</w:t>
            </w:r>
            <w:r>
              <w:rPr>
                <w:rFonts w:ascii="Times New Roman" w:eastAsia="標楷體" w:hAnsi="Times New Roman"/>
              </w:rPr>
              <w:t>之著作成果不得再計算點數。第一作者或通訊作者</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％，第二作者</w:t>
            </w:r>
            <w:r>
              <w:rPr>
                <w:rFonts w:ascii="Times New Roman" w:eastAsia="標楷體" w:hAnsi="Times New Roman"/>
              </w:rPr>
              <w:t>80</w:t>
            </w:r>
            <w:r>
              <w:rPr>
                <w:rFonts w:ascii="Times New Roman" w:eastAsia="標楷體" w:hAnsi="Times New Roman"/>
              </w:rPr>
              <w:t>％，第三作者（含）以上</w:t>
            </w:r>
            <w:r>
              <w:rPr>
                <w:rFonts w:ascii="Times New Roman" w:eastAsia="標楷體" w:hAnsi="Times New Roman"/>
              </w:rPr>
              <w:t>60</w:t>
            </w:r>
            <w:r>
              <w:rPr>
                <w:rFonts w:ascii="Times New Roman" w:eastAsia="標楷體" w:hAnsi="Times New Roman"/>
              </w:rPr>
              <w:t>％之點數。</w:t>
            </w:r>
          </w:p>
        </w:tc>
      </w:tr>
      <w:tr w:rsidR="002B67A6">
        <w:trPr>
          <w:trHeight w:val="46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1.2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年刊登於經各學術領域認可之國內、</w:t>
            </w:r>
            <w:proofErr w:type="gramStart"/>
            <w:r>
              <w:rPr>
                <w:rFonts w:ascii="Times New Roman" w:eastAsia="標楷體" w:hAnsi="Times New Roman"/>
              </w:rPr>
              <w:t>外具審查</w:t>
            </w:r>
            <w:proofErr w:type="gramEnd"/>
            <w:r>
              <w:rPr>
                <w:rFonts w:ascii="Times New Roman" w:eastAsia="標楷體" w:hAnsi="Times New Roman"/>
              </w:rPr>
              <w:t>制度之學術或專業刊物之論文</w:t>
            </w:r>
            <w:r>
              <w:rPr>
                <w:rFonts w:ascii="Times New Roman" w:eastAsia="標楷體" w:hAnsi="Times New Roman"/>
                <w:kern w:val="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每篇</w:t>
            </w:r>
            <w:r>
              <w:rPr>
                <w:rFonts w:ascii="Times New Roman" w:eastAsia="標楷體" w:hAnsi="Times New Roman"/>
              </w:rPr>
              <w:t>10</w:t>
            </w:r>
            <w:r>
              <w:rPr>
                <w:rFonts w:ascii="Times New Roman" w:eastAsia="標楷體" w:hAnsi="Times New Roman"/>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644"/>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1.3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年之技術報告、經嚴謹</w:t>
            </w:r>
            <w:r>
              <w:rPr>
                <w:rFonts w:ascii="Times New Roman" w:eastAsia="標楷體" w:hAnsi="Times New Roman"/>
                <w:szCs w:val="20"/>
              </w:rPr>
              <w:t>制度</w:t>
            </w:r>
            <w:r>
              <w:rPr>
                <w:rFonts w:ascii="Times New Roman" w:eastAsia="標楷體" w:hAnsi="Times New Roman"/>
              </w:rPr>
              <w:t>審查之成就證明或經嚴謹制度審查，且已發表或出版並公開發行之專書或專章、作品等，</w:t>
            </w:r>
            <w:proofErr w:type="gramStart"/>
            <w:r>
              <w:rPr>
                <w:rFonts w:ascii="Times New Roman" w:eastAsia="標楷體" w:hAnsi="Times New Roman"/>
              </w:rPr>
              <w:t>並經教評</w:t>
            </w:r>
            <w:proofErr w:type="gramEnd"/>
            <w:r>
              <w:rPr>
                <w:rFonts w:ascii="Times New Roman" w:eastAsia="標楷體" w:hAnsi="Times New Roman"/>
              </w:rPr>
              <w:t>會委員認可者，藝術領域之教師得</w:t>
            </w:r>
            <w:proofErr w:type="gramStart"/>
            <w:r>
              <w:rPr>
                <w:rFonts w:ascii="Times New Roman" w:eastAsia="標楷體" w:hAnsi="Times New Roman"/>
              </w:rPr>
              <w:t>採計</w:t>
            </w:r>
            <w:proofErr w:type="gramEnd"/>
            <w:r>
              <w:rPr>
                <w:rFonts w:ascii="Times New Roman" w:eastAsia="標楷體" w:hAnsi="Times New Roman"/>
              </w:rPr>
              <w:t>經嚴謹制度審查發表</w:t>
            </w:r>
            <w:proofErr w:type="gramStart"/>
            <w:r>
              <w:rPr>
                <w:rFonts w:ascii="Times New Roman" w:eastAsia="標楷體" w:hAnsi="Times New Roman"/>
              </w:rPr>
              <w:t>並經教</w:t>
            </w:r>
            <w:proofErr w:type="gramEnd"/>
            <w:r>
              <w:rPr>
                <w:rFonts w:ascii="Times New Roman" w:eastAsia="標楷體" w:hAnsi="Times New Roman"/>
              </w:rPr>
              <w:t>評會委員認可之論文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4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研究計畫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年執行</w:t>
            </w:r>
            <w:r w:rsidR="004C3A92" w:rsidRPr="004C3A92">
              <w:rPr>
                <w:rFonts w:ascii="標楷體" w:eastAsia="標楷體" w:hAnsi="標楷體" w:hint="eastAsia"/>
                <w:color w:val="FF0000"/>
                <w:szCs w:val="24"/>
                <w:u w:val="single"/>
              </w:rPr>
              <w:t>國科會</w:t>
            </w:r>
            <w:r>
              <w:rPr>
                <w:rFonts w:ascii="Times New Roman" w:eastAsia="標楷體" w:hAnsi="Times New Roman"/>
                <w:szCs w:val="24"/>
              </w:rPr>
              <w:t>及非</w:t>
            </w:r>
            <w:r w:rsidR="004C3A92" w:rsidRPr="004C3A92">
              <w:rPr>
                <w:rFonts w:ascii="標楷體" w:eastAsia="標楷體" w:hAnsi="標楷體" w:hint="eastAsia"/>
                <w:color w:val="FF0000"/>
                <w:szCs w:val="24"/>
                <w:u w:val="single"/>
              </w:rPr>
              <w:t>國科會</w:t>
            </w:r>
            <w:r>
              <w:rPr>
                <w:rFonts w:ascii="Times New Roman" w:eastAsia="標楷體" w:hAnsi="Times New Roman"/>
              </w:rPr>
              <w:t>之政府機關計畫（需有行政管理費）。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每件</w:t>
            </w:r>
            <w:r>
              <w:rPr>
                <w:rFonts w:ascii="Times New Roman" w:eastAsia="標楷體" w:hAnsi="Times New Roman"/>
                <w:kern w:val="0"/>
              </w:rPr>
              <w:t>15</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50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pPr>
            <w:r>
              <w:rPr>
                <w:rFonts w:ascii="Times New Roman" w:eastAsia="標楷體" w:hAnsi="Times New Roman"/>
              </w:rPr>
              <w:t>3.</w:t>
            </w:r>
            <w:r>
              <w:rPr>
                <w:rFonts w:ascii="Times New Roman" w:eastAsia="標楷體" w:hAnsi="Times New Roman"/>
              </w:rPr>
              <w:t>產官學計畫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年執行之產官學合作計畫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行政管理費每</w:t>
            </w:r>
            <w:r>
              <w:rPr>
                <w:rFonts w:ascii="Times New Roman" w:eastAsia="標楷體" w:hAnsi="Times New Roman"/>
                <w:kern w:val="0"/>
              </w:rPr>
              <w:t>1</w:t>
            </w:r>
            <w:r>
              <w:rPr>
                <w:rFonts w:ascii="Times New Roman" w:eastAsia="標楷體" w:hAnsi="Times New Roman"/>
                <w:kern w:val="0"/>
              </w:rPr>
              <w:t>萬元</w:t>
            </w:r>
            <w:r>
              <w:rPr>
                <w:rFonts w:ascii="Times New Roman" w:eastAsia="標楷體" w:hAnsi="Times New Roman"/>
                <w:kern w:val="0"/>
              </w:rPr>
              <w:t>1</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2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4.</w:t>
            </w:r>
            <w:r>
              <w:rPr>
                <w:rFonts w:ascii="Times New Roman" w:eastAsia="標楷體" w:hAnsi="Times New Roman"/>
              </w:rPr>
              <w:t>發明專利</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年取得之國內、外發明專利。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kern w:val="0"/>
              </w:rPr>
              <w:t>國外專利每件</w:t>
            </w:r>
            <w:r>
              <w:rPr>
                <w:rFonts w:ascii="Times New Roman" w:eastAsia="標楷體" w:hAnsi="Times New Roman"/>
                <w:kern w:val="0"/>
              </w:rPr>
              <w:t>20</w:t>
            </w:r>
            <w:r>
              <w:rPr>
                <w:rFonts w:ascii="Times New Roman" w:eastAsia="標楷體" w:hAnsi="Times New Roman"/>
                <w:kern w:val="0"/>
              </w:rPr>
              <w:t>點；國內專利每件</w:t>
            </w:r>
            <w:r>
              <w:rPr>
                <w:rFonts w:ascii="Times New Roman" w:eastAsia="標楷體" w:hAnsi="Times New Roman"/>
                <w:kern w:val="0"/>
              </w:rPr>
              <w:t>10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發明人為一位時</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％，二位時</w:t>
            </w:r>
            <w:r>
              <w:rPr>
                <w:rFonts w:ascii="Times New Roman" w:eastAsia="標楷體" w:hAnsi="Times New Roman"/>
              </w:rPr>
              <w:t>80</w:t>
            </w:r>
            <w:r>
              <w:rPr>
                <w:rFonts w:ascii="Times New Roman" w:eastAsia="標楷體" w:hAnsi="Times New Roman"/>
              </w:rPr>
              <w:t>％，三位時</w:t>
            </w:r>
            <w:r>
              <w:rPr>
                <w:rFonts w:ascii="Times New Roman" w:eastAsia="標楷體" w:hAnsi="Times New Roman"/>
              </w:rPr>
              <w:t>70</w:t>
            </w:r>
            <w:r>
              <w:rPr>
                <w:rFonts w:ascii="Times New Roman" w:eastAsia="標楷體" w:hAnsi="Times New Roman"/>
              </w:rPr>
              <w:t>％，四位時</w:t>
            </w:r>
            <w:r>
              <w:rPr>
                <w:rFonts w:ascii="Times New Roman" w:eastAsia="標楷體" w:hAnsi="Times New Roman"/>
              </w:rPr>
              <w:t>60</w:t>
            </w:r>
            <w:r>
              <w:rPr>
                <w:rFonts w:ascii="Times New Roman" w:eastAsia="標楷體" w:hAnsi="Times New Roman"/>
              </w:rPr>
              <w:t>％，五位（含）以上時</w:t>
            </w:r>
            <w:r>
              <w:rPr>
                <w:rFonts w:ascii="Times New Roman" w:eastAsia="標楷體" w:hAnsi="Times New Roman"/>
              </w:rPr>
              <w:t>50</w:t>
            </w:r>
            <w:r>
              <w:rPr>
                <w:rFonts w:ascii="Times New Roman" w:eastAsia="標楷體" w:hAnsi="Times New Roman"/>
              </w:rPr>
              <w:t>％之點數。每件專利只能</w:t>
            </w:r>
            <w:proofErr w:type="gramStart"/>
            <w:r>
              <w:rPr>
                <w:rFonts w:ascii="Times New Roman" w:eastAsia="標楷體" w:hAnsi="Times New Roman"/>
              </w:rPr>
              <w:t>採</w:t>
            </w:r>
            <w:proofErr w:type="gramEnd"/>
            <w:r>
              <w:rPr>
                <w:rFonts w:ascii="Times New Roman" w:eastAsia="標楷體" w:hAnsi="Times New Roman"/>
              </w:rPr>
              <w:t>計一次點數。</w:t>
            </w:r>
          </w:p>
        </w:tc>
      </w:tr>
      <w:tr w:rsidR="002B67A6">
        <w:trPr>
          <w:trHeight w:val="5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5.</w:t>
            </w:r>
            <w:r>
              <w:rPr>
                <w:rFonts w:ascii="Times New Roman" w:eastAsia="標楷體" w:hAnsi="Times New Roman"/>
                <w:kern w:val="0"/>
              </w:rPr>
              <w:t>技轉授權</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年累計技轉授權金額。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w:t>
            </w:r>
            <w:r>
              <w:rPr>
                <w:rFonts w:ascii="Times New Roman" w:eastAsia="標楷體" w:hAnsi="Times New Roman"/>
                <w:kern w:val="0"/>
              </w:rPr>
              <w:t>1</w:t>
            </w:r>
            <w:r>
              <w:rPr>
                <w:rFonts w:ascii="Times New Roman" w:eastAsia="標楷體" w:hAnsi="Times New Roman"/>
                <w:kern w:val="0"/>
              </w:rPr>
              <w:t>萬元</w:t>
            </w:r>
            <w:r>
              <w:rPr>
                <w:rFonts w:ascii="Times New Roman" w:eastAsia="標楷體" w:hAnsi="Times New Roman"/>
                <w:kern w:val="0"/>
              </w:rPr>
              <w:t>1</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50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6.</w:t>
            </w:r>
            <w:r>
              <w:rPr>
                <w:rFonts w:ascii="Times New Roman" w:eastAsia="標楷體" w:hAnsi="Times New Roman"/>
              </w:rPr>
              <w:t>學術榮譽</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6.1</w:t>
            </w:r>
            <w:r>
              <w:rPr>
                <w:rFonts w:ascii="Times New Roman" w:eastAsia="標楷體" w:hAnsi="Times New Roman"/>
              </w:rPr>
              <w:t>榮獲國際性學術榮譽獎項。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10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43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snapToGrid w:val="0"/>
              <w:ind w:left="432" w:hanging="432"/>
              <w:jc w:val="both"/>
            </w:pPr>
            <w:r>
              <w:rPr>
                <w:rFonts w:ascii="Times New Roman" w:eastAsia="標楷體" w:hAnsi="Times New Roman"/>
              </w:rPr>
              <w:t>6.2</w:t>
            </w:r>
            <w:r>
              <w:rPr>
                <w:rFonts w:ascii="Times New Roman" w:eastAsia="標楷體" w:hAnsi="Times New Roman"/>
              </w:rPr>
              <w:t>榮獲校外學術研究榮譽獎項，如</w:t>
            </w:r>
            <w:r w:rsidR="004C3A92" w:rsidRPr="004C3A92">
              <w:rPr>
                <w:rFonts w:ascii="標楷體" w:eastAsia="標楷體" w:hAnsi="標楷體" w:hint="eastAsia"/>
                <w:color w:val="FF0000"/>
                <w:szCs w:val="24"/>
                <w:u w:val="single"/>
              </w:rPr>
              <w:t>國科會</w:t>
            </w:r>
            <w:r>
              <w:rPr>
                <w:rFonts w:ascii="Times New Roman" w:eastAsia="標楷體" w:hAnsi="Times New Roman"/>
              </w:rPr>
              <w:t>之傑出研究獎、傑出產學合作獎、傑出科技榮譽獎、傑出技轉貢獻獎；總統科學獎；體育運動學術團體聯合年會暨學術研討會之體育運動耕耘獎等。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10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97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snapToGrid w:val="0"/>
              <w:ind w:left="432" w:hanging="432"/>
              <w:jc w:val="both"/>
            </w:pPr>
            <w:r>
              <w:rPr>
                <w:rFonts w:ascii="Times New Roman" w:eastAsia="標楷體" w:hAnsi="Times New Roman"/>
              </w:rPr>
              <w:t>6.3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年榮獲校內學術研究榮譽獎項，如延攬及留住特殊優秀人才獎勵、傑出研究獎、研究成果獎勵等。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5</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9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widowControl/>
              <w:jc w:val="center"/>
              <w:rPr>
                <w:rFonts w:ascii="Times New Roman" w:eastAsia="標楷體" w:hAnsi="Times New Roman"/>
                <w:kern w:val="0"/>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ind w:left="432" w:hanging="432"/>
              <w:jc w:val="both"/>
            </w:pPr>
            <w:r>
              <w:rPr>
                <w:rFonts w:ascii="Times New Roman" w:eastAsia="標楷體" w:hAnsi="Times New Roman"/>
              </w:rPr>
              <w:t>6.4</w:t>
            </w:r>
            <w:r>
              <w:rPr>
                <w:rFonts w:ascii="Times New Roman" w:eastAsia="標楷體" w:hAnsi="Times New Roman"/>
              </w:rPr>
              <w:t>其他學術研究相關榮譽</w:t>
            </w:r>
            <w:proofErr w:type="gramStart"/>
            <w:r>
              <w:rPr>
                <w:rFonts w:ascii="Times New Roman" w:eastAsia="標楷體" w:hAnsi="Times New Roman"/>
              </w:rPr>
              <w:t>獎項經教評</w:t>
            </w:r>
            <w:proofErr w:type="gramEnd"/>
            <w:r>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612"/>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lastRenderedPageBreak/>
              <w:t>7.</w:t>
            </w:r>
            <w:r>
              <w:rPr>
                <w:rFonts w:ascii="Times New Roman" w:eastAsia="標楷體" w:hAnsi="Times New Roman"/>
              </w:rPr>
              <w:t>創作作品</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40</w:t>
            </w:r>
            <w:r>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7.1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年內於國內、外公開展覽場所舉辦個人展演及發表，作品展演類別及作品數量，依據教育部最新公布，專科以上學校教師資格審定辦法內「藝術類科教師以作品及成就證明送審教師資格審查基準」規定辦理。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25</w:t>
            </w:r>
            <w:r>
              <w:rPr>
                <w:rFonts w:ascii="Times New Roman" w:eastAsia="標楷體" w:hAnsi="Times New Roman"/>
                <w:kern w:val="0"/>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1</w:t>
            </w:r>
            <w:r>
              <w:rPr>
                <w:rFonts w:ascii="Times New Roman" w:eastAsia="標楷體" w:hAnsi="Times New Roman"/>
              </w:rPr>
              <w:t>之創作作品不得再計算點數。</w:t>
            </w:r>
          </w:p>
        </w:tc>
      </w:tr>
      <w:tr w:rsidR="002B67A6">
        <w:trPr>
          <w:trHeight w:val="556"/>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7.2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年內於國內、外公開展覽場所參加聯展或聯合公開發表作品者。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5</w:t>
            </w:r>
            <w:r>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59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7.3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年內代表公家單位於國內、外公開展覽場所策劃國際展演者。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15</w:t>
            </w:r>
            <w:r>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60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7.4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年內於國內公開展覽場所策劃展演者。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10</w:t>
            </w:r>
            <w:r>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31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7.5</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年經公開徵選與評選制度獲選參展、發表、出版者。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每件</w:t>
            </w:r>
            <w:r>
              <w:rPr>
                <w:rFonts w:ascii="Times New Roman" w:eastAsia="標楷體" w:hAnsi="Times New Roman"/>
                <w:kern w:val="0"/>
              </w:rPr>
              <w:t>5</w:t>
            </w:r>
            <w:r>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97"/>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7.6</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年其他創作</w:t>
            </w:r>
            <w:proofErr w:type="gramStart"/>
            <w:r>
              <w:rPr>
                <w:rFonts w:ascii="Times New Roman" w:eastAsia="標楷體" w:hAnsi="Times New Roman"/>
              </w:rPr>
              <w:t>發表經教評</w:t>
            </w:r>
            <w:proofErr w:type="gramEnd"/>
            <w:r>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rPr>
            </w:pPr>
            <w:r>
              <w:rPr>
                <w:rFonts w:ascii="Times New Roman" w:eastAsia="標楷體" w:hAnsi="Times New Roman"/>
              </w:rPr>
              <w:t>點數由教評會認定</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strike/>
              </w:rPr>
            </w:pPr>
          </w:p>
        </w:tc>
      </w:tr>
      <w:tr w:rsidR="002B67A6">
        <w:trPr>
          <w:trHeight w:val="811"/>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8.</w:t>
            </w:r>
            <w:r>
              <w:rPr>
                <w:rFonts w:ascii="Times New Roman" w:eastAsia="標楷體" w:hAnsi="Times New Roman"/>
                <w:kern w:val="0"/>
              </w:rPr>
              <w:t>指導學生</w:t>
            </w:r>
          </w:p>
          <w:p w:rsidR="002B67A6" w:rsidRDefault="00FC01AE">
            <w:pPr>
              <w:widowControl/>
              <w:jc w:val="center"/>
              <w:rPr>
                <w:rFonts w:ascii="Times New Roman" w:eastAsia="標楷體" w:hAnsi="Times New Roman"/>
                <w:kern w:val="0"/>
              </w:rP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8.1</w:t>
            </w: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年指導學生</w:t>
            </w:r>
            <w:r>
              <w:rPr>
                <w:rFonts w:ascii="Times New Roman" w:eastAsia="標楷體" w:hAnsi="Times New Roman"/>
              </w:rPr>
              <w:t>榮獲國際性重要成果獎項（含發明、競賽、作品、成就證明等）。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每項最高</w:t>
            </w:r>
            <w:r>
              <w:rPr>
                <w:rFonts w:ascii="Times New Roman" w:eastAsia="標楷體" w:hAnsi="Times New Roman"/>
                <w:kern w:val="0"/>
              </w:rPr>
              <w:t>20</w:t>
            </w:r>
            <w:r>
              <w:rPr>
                <w:rFonts w:ascii="Times New Roman" w:eastAsia="標楷體" w:hAnsi="Times New Roman"/>
                <w:kern w:val="0"/>
              </w:rPr>
              <w:t>點</w:t>
            </w:r>
          </w:p>
        </w:tc>
        <w:tc>
          <w:tcPr>
            <w:tcW w:w="21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第一、二、三名（或相當等級者）分別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tc>
      </w:tr>
      <w:tr w:rsidR="002B67A6">
        <w:trPr>
          <w:trHeight w:val="139"/>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8.2</w:t>
            </w: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年指導學生</w:t>
            </w:r>
            <w:r>
              <w:rPr>
                <w:rFonts w:ascii="Times New Roman" w:eastAsia="標楷體" w:hAnsi="Times New Roman"/>
              </w:rPr>
              <w:t>榮獲全國性重要成果獎項（含發明、競賽、作品、成就證明等）。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pPr>
            <w:r>
              <w:rPr>
                <w:rFonts w:ascii="Times New Roman" w:eastAsia="標楷體" w:hAnsi="Times New Roman"/>
                <w:kern w:val="0"/>
              </w:rPr>
              <w:t>每項最高</w:t>
            </w:r>
            <w:r>
              <w:rPr>
                <w:rFonts w:ascii="Times New Roman" w:eastAsia="標楷體" w:hAnsi="Times New Roman"/>
                <w:kern w:val="0"/>
              </w:rPr>
              <w:t>10</w:t>
            </w:r>
            <w:r>
              <w:rPr>
                <w:rFonts w:ascii="Times New Roman" w:eastAsia="標楷體" w:hAnsi="Times New Roman"/>
                <w:kern w:val="0"/>
              </w:rPr>
              <w:t>點</w:t>
            </w:r>
          </w:p>
        </w:tc>
        <w:tc>
          <w:tcPr>
            <w:tcW w:w="21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928"/>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9.</w:t>
            </w:r>
            <w:r>
              <w:rPr>
                <w:rFonts w:ascii="Times New Roman" w:eastAsia="標楷體" w:hAnsi="Times New Roman"/>
              </w:rPr>
              <w:t>其他具體研究績效</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30</w:t>
            </w:r>
            <w:r>
              <w:rPr>
                <w:rFonts w:ascii="Times New Roman" w:eastAsia="標楷體" w:hAnsi="Times New Roman"/>
              </w:rPr>
              <w:t>點）</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9.1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年擔任參與</w:t>
            </w:r>
            <w:r>
              <w:rPr>
                <w:rFonts w:ascii="Times New Roman" w:eastAsia="標楷體" w:hAnsi="Times New Roman"/>
              </w:rPr>
              <w:t>SCI</w:t>
            </w:r>
            <w:r>
              <w:rPr>
                <w:rFonts w:ascii="Times New Roman" w:eastAsia="標楷體" w:hAnsi="Times New Roman"/>
                <w:kern w:val="0"/>
              </w:rPr>
              <w:t>(E)</w:t>
            </w:r>
            <w:r>
              <w:rPr>
                <w:rFonts w:ascii="Times New Roman" w:eastAsia="標楷體" w:hAnsi="Times New Roman"/>
              </w:rPr>
              <w:t>、</w:t>
            </w:r>
            <w:r>
              <w:rPr>
                <w:rFonts w:ascii="Times New Roman" w:eastAsia="標楷體" w:hAnsi="Times New Roman"/>
                <w:szCs w:val="20"/>
              </w:rPr>
              <w:t>SSCI</w:t>
            </w:r>
            <w:r>
              <w:rPr>
                <w:rFonts w:ascii="Times New Roman" w:eastAsia="標楷體" w:hAnsi="Times New Roman"/>
              </w:rPr>
              <w:t>、</w:t>
            </w:r>
            <w:r>
              <w:rPr>
                <w:rFonts w:ascii="Times New Roman" w:eastAsia="標楷體" w:hAnsi="Times New Roman"/>
              </w:rPr>
              <w:t>TSSCI</w:t>
            </w:r>
            <w:r>
              <w:rPr>
                <w:rFonts w:ascii="Times New Roman" w:eastAsia="標楷體" w:hAnsi="Times New Roman"/>
              </w:rPr>
              <w:t>（第一級與第二級）、</w:t>
            </w:r>
            <w:r>
              <w:rPr>
                <w:rFonts w:ascii="Times New Roman" w:eastAsia="標楷體" w:hAnsi="Times New Roman"/>
              </w:rPr>
              <w:t>THCI</w:t>
            </w:r>
            <w:r>
              <w:rPr>
                <w:rFonts w:ascii="Times New Roman" w:eastAsia="標楷體" w:hAnsi="Times New Roman"/>
              </w:rPr>
              <w:t>（第一級與第二級）、</w:t>
            </w:r>
            <w:r>
              <w:rPr>
                <w:rFonts w:ascii="Times New Roman" w:eastAsia="標楷體" w:hAnsi="Times New Roman"/>
              </w:rPr>
              <w:t>A&amp;HCI</w:t>
            </w:r>
            <w:r>
              <w:rPr>
                <w:rFonts w:ascii="Times New Roman" w:eastAsia="標楷體" w:hAnsi="Times New Roman"/>
              </w:rPr>
              <w:t>及</w:t>
            </w:r>
            <w:r>
              <w:rPr>
                <w:rFonts w:ascii="Times New Roman" w:eastAsia="標楷體" w:hAnsi="Times New Roman"/>
              </w:rPr>
              <w:t>index</w:t>
            </w:r>
            <w:r>
              <w:rPr>
                <w:rFonts w:ascii="Times New Roman" w:eastAsia="標楷體" w:hAnsi="Times New Roman"/>
              </w:rPr>
              <w:t>（</w:t>
            </w:r>
            <w:r>
              <w:rPr>
                <w:rFonts w:ascii="Times New Roman" w:eastAsia="標楷體" w:hAnsi="Times New Roman"/>
              </w:rPr>
              <w:t>SCOPUS</w:t>
            </w:r>
            <w:r>
              <w:rPr>
                <w:rFonts w:ascii="Times New Roman" w:eastAsia="標楷體" w:hAnsi="Times New Roman"/>
              </w:rPr>
              <w:t>、</w:t>
            </w:r>
            <w:r>
              <w:rPr>
                <w:rFonts w:ascii="Times New Roman" w:eastAsia="標楷體" w:hAnsi="Times New Roman"/>
              </w:rPr>
              <w:t>ERIC</w:t>
            </w:r>
            <w:r>
              <w:rPr>
                <w:rFonts w:ascii="Times New Roman" w:eastAsia="標楷體" w:hAnsi="Times New Roman"/>
              </w:rPr>
              <w:t>、</w:t>
            </w:r>
            <w:r>
              <w:rPr>
                <w:rFonts w:ascii="Times New Roman" w:eastAsia="標楷體" w:hAnsi="Times New Roman"/>
              </w:rPr>
              <w:t>HI</w:t>
            </w:r>
            <w:r>
              <w:rPr>
                <w:rFonts w:ascii="Times New Roman" w:eastAsia="標楷體" w:hAnsi="Times New Roman"/>
              </w:rPr>
              <w:t>、</w:t>
            </w:r>
            <w:r>
              <w:rPr>
                <w:rFonts w:ascii="Times New Roman" w:eastAsia="標楷體" w:hAnsi="Times New Roman"/>
              </w:rPr>
              <w:t>MLA</w:t>
            </w:r>
            <w:r>
              <w:rPr>
                <w:rFonts w:ascii="Times New Roman" w:eastAsia="標楷體" w:hAnsi="Times New Roman"/>
              </w:rPr>
              <w:t>）所列之期刊之主編、副主編、編輯。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每種期刊各</w:t>
            </w:r>
            <w:r>
              <w:rPr>
                <w:rFonts w:ascii="Times New Roman" w:eastAsia="標楷體" w:hAnsi="Times New Roman"/>
                <w:kern w:val="0"/>
              </w:rPr>
              <w:t>20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snapToGrid w:val="0"/>
              <w:jc w:val="both"/>
              <w:rPr>
                <w:rFonts w:ascii="Times New Roman" w:eastAsia="標楷體" w:hAnsi="Times New Roman"/>
              </w:rPr>
            </w:pPr>
            <w:r>
              <w:rPr>
                <w:rFonts w:ascii="Times New Roman" w:eastAsia="標楷體" w:hAnsi="Times New Roman"/>
              </w:rPr>
              <w:t>主編、副主編、編輯分別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tc>
      </w:tr>
      <w:tr w:rsidR="002B67A6">
        <w:trPr>
          <w:trHeight w:val="238"/>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9.2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年擔任國際單項運動協會之各項委員。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每年每項</w:t>
            </w:r>
            <w:r>
              <w:rPr>
                <w:rFonts w:ascii="Times New Roman" w:eastAsia="標楷體" w:hAnsi="Times New Roman"/>
                <w:kern w:val="0"/>
              </w:rPr>
              <w:t>20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303"/>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58" w:hanging="458"/>
              <w:jc w:val="both"/>
              <w:rPr>
                <w:rFonts w:ascii="Times New Roman" w:eastAsia="標楷體" w:hAnsi="Times New Roman"/>
              </w:rPr>
            </w:pPr>
            <w:r>
              <w:rPr>
                <w:rFonts w:ascii="Times New Roman" w:eastAsia="標楷體" w:hAnsi="Times New Roman"/>
              </w:rPr>
              <w:t>9.3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年擔任學術會議主題演講者（</w:t>
            </w:r>
            <w:r>
              <w:rPr>
                <w:rFonts w:ascii="Times New Roman" w:eastAsia="標楷體" w:hAnsi="Times New Roman"/>
              </w:rPr>
              <w:t>Keynote Speaker</w:t>
            </w:r>
            <w:r>
              <w:rPr>
                <w:rFonts w:ascii="Times New Roman" w:eastAsia="標楷體"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10</w:t>
            </w:r>
            <w:r>
              <w:rPr>
                <w:rFonts w:ascii="Times New Roman" w:eastAsia="標楷體" w:hAnsi="Times New Roman"/>
                <w:kern w:val="0"/>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780"/>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9.4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年有關專業技術或管理之個案研究，經整理</w:t>
            </w:r>
            <w:proofErr w:type="gramStart"/>
            <w:r>
              <w:rPr>
                <w:rFonts w:ascii="Times New Roman" w:eastAsia="標楷體" w:hAnsi="Times New Roman"/>
              </w:rPr>
              <w:t>分析具整體性</w:t>
            </w:r>
            <w:proofErr w:type="gramEnd"/>
            <w:r>
              <w:rPr>
                <w:rFonts w:ascii="Times New Roman" w:eastAsia="標楷體" w:hAnsi="Times New Roman"/>
              </w:rPr>
              <w:t>及獨特見解、貢獻之報告，</w:t>
            </w:r>
            <w:proofErr w:type="gramStart"/>
            <w:r>
              <w:rPr>
                <w:rFonts w:ascii="Times New Roman" w:eastAsia="標楷體" w:hAnsi="Times New Roman"/>
              </w:rPr>
              <w:t>並經教</w:t>
            </w:r>
            <w:proofErr w:type="gramEnd"/>
            <w:r>
              <w:rPr>
                <w:rFonts w:ascii="Times New Roman" w:eastAsia="標楷體" w:hAnsi="Times New Roman"/>
              </w:rPr>
              <w:t>評會委員認可者。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282"/>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9.5</w:t>
            </w:r>
            <w:r>
              <w:rPr>
                <w:rFonts w:ascii="Times New Roman" w:eastAsia="標楷體" w:hAnsi="Times New Roman"/>
              </w:rPr>
              <w:t>其他具體研究</w:t>
            </w:r>
            <w:proofErr w:type="gramStart"/>
            <w:r>
              <w:rPr>
                <w:rFonts w:ascii="Times New Roman" w:eastAsia="標楷體" w:hAnsi="Times New Roman"/>
              </w:rPr>
              <w:t>績效經教評</w:t>
            </w:r>
            <w:proofErr w:type="gramEnd"/>
            <w:r>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jc w:val="both"/>
              <w:rPr>
                <w:rFonts w:ascii="Times New Roman" w:eastAsia="標楷體" w:hAnsi="Times New Roman"/>
                <w:kern w:val="0"/>
              </w:rPr>
            </w:pPr>
            <w:r>
              <w:rPr>
                <w:rFonts w:ascii="Times New Roman" w:eastAsia="標楷體" w:hAnsi="Times New Roman"/>
                <w:kern w:val="0"/>
              </w:rPr>
              <w:t>點數由教評會認定</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28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10.</w:t>
            </w:r>
            <w:r>
              <w:rPr>
                <w:rFonts w:ascii="Times New Roman" w:eastAsia="標楷體" w:hAnsi="Times New Roman"/>
              </w:rPr>
              <w:t>整合型計畫</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年擔任整合型計畫總主持人（需有行政管理費）。。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rPr>
              <w:t>每件</w:t>
            </w:r>
            <w:r>
              <w:rPr>
                <w:rFonts w:ascii="Times New Roman" w:eastAsia="標楷體" w:hAnsi="Times New Roman"/>
              </w:rPr>
              <w:t>20</w:t>
            </w:r>
            <w:r>
              <w:rPr>
                <w:rFonts w:ascii="Times New Roman" w:eastAsia="標楷體" w:hAnsi="Times New Roman"/>
              </w:rPr>
              <w:t>點</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不可與研究、產學計畫重複</w:t>
            </w:r>
            <w:proofErr w:type="gramStart"/>
            <w:r>
              <w:rPr>
                <w:rFonts w:ascii="Times New Roman" w:eastAsia="標楷體" w:hAnsi="Times New Roman"/>
              </w:rPr>
              <w:t>採</w:t>
            </w:r>
            <w:proofErr w:type="gramEnd"/>
            <w:r>
              <w:rPr>
                <w:rFonts w:ascii="Times New Roman" w:eastAsia="標楷體" w:hAnsi="Times New Roman"/>
              </w:rPr>
              <w:t>計。</w:t>
            </w:r>
          </w:p>
        </w:tc>
      </w:tr>
      <w:tr w:rsidR="002B67A6">
        <w:trPr>
          <w:trHeight w:val="910"/>
          <w:jc w:val="center"/>
        </w:trPr>
        <w:tc>
          <w:tcPr>
            <w:tcW w:w="105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1</w:t>
            </w:r>
            <w:r>
              <w:rPr>
                <w:rFonts w:ascii="Times New Roman" w:eastAsia="標楷體" w:hAnsi="Times New Roman"/>
              </w:rPr>
              <w:t>：已計入前一級升等成果者，不得列入次一級升等成果計算。</w:t>
            </w:r>
          </w:p>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2</w:t>
            </w:r>
            <w:r>
              <w:rPr>
                <w:rFonts w:ascii="Times New Roman" w:eastAsia="標楷體" w:hAnsi="Times New Roman"/>
              </w:rPr>
              <w:t>：各項計畫必須為擔任主持人或實際計畫執行人，但每項計畫</w:t>
            </w:r>
            <w:proofErr w:type="gramStart"/>
            <w:r>
              <w:rPr>
                <w:rFonts w:ascii="Times New Roman" w:eastAsia="標楷體" w:hAnsi="Times New Roman"/>
              </w:rPr>
              <w:t>僅能擇</w:t>
            </w:r>
            <w:proofErr w:type="gramEnd"/>
            <w:r>
              <w:rPr>
                <w:rFonts w:ascii="Times New Roman" w:eastAsia="標楷體" w:hAnsi="Times New Roman"/>
              </w:rPr>
              <w:t>一人計點。</w:t>
            </w:r>
          </w:p>
        </w:tc>
      </w:tr>
    </w:tbl>
    <w:p w:rsidR="00A1039A" w:rsidRDefault="00A1039A">
      <w:pPr>
        <w:sectPr w:rsidR="00A1039A">
          <w:pgSz w:w="12240" w:h="15840"/>
          <w:pgMar w:top="1134" w:right="1134" w:bottom="1134" w:left="1134" w:header="720" w:footer="720" w:gutter="0"/>
          <w:pgNumType w:start="1"/>
          <w:cols w:space="720"/>
          <w:docGrid w:type="lines" w:linePitch="366"/>
        </w:sectPr>
      </w:pPr>
    </w:p>
    <w:p w:rsidR="002B67A6" w:rsidRDefault="00FC01AE">
      <w:pPr>
        <w:rPr>
          <w:rFonts w:ascii="Times New Roman" w:eastAsia="標楷體" w:hAnsi="Times New Roman"/>
          <w:sz w:val="20"/>
          <w:szCs w:val="20"/>
        </w:rPr>
      </w:pPr>
      <w:r>
        <w:rPr>
          <w:rFonts w:ascii="Times New Roman" w:eastAsia="標楷體" w:hAnsi="Times New Roman"/>
          <w:sz w:val="20"/>
          <w:szCs w:val="20"/>
        </w:rPr>
        <w:lastRenderedPageBreak/>
        <w:t>附表二</w:t>
      </w:r>
    </w:p>
    <w:p w:rsidR="002B67A6" w:rsidRDefault="00FC01AE">
      <w:pPr>
        <w:spacing w:after="180"/>
        <w:jc w:val="center"/>
        <w:rPr>
          <w:rFonts w:ascii="Times New Roman" w:eastAsia="標楷體" w:hAnsi="Times New Roman"/>
          <w:sz w:val="28"/>
          <w:szCs w:val="28"/>
        </w:rPr>
      </w:pPr>
      <w:r>
        <w:rPr>
          <w:rFonts w:ascii="Times New Roman" w:eastAsia="標楷體" w:hAnsi="Times New Roman"/>
          <w:sz w:val="28"/>
          <w:szCs w:val="28"/>
        </w:rPr>
        <w:t>教學研究成果點數</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計表</w:t>
      </w:r>
    </w:p>
    <w:tbl>
      <w:tblPr>
        <w:tblW w:w="10461" w:type="dxa"/>
        <w:jc w:val="center"/>
        <w:tblCellMar>
          <w:left w:w="10" w:type="dxa"/>
          <w:right w:w="10" w:type="dxa"/>
        </w:tblCellMar>
        <w:tblLook w:val="04A0" w:firstRow="1" w:lastRow="0" w:firstColumn="1" w:lastColumn="0" w:noHBand="0" w:noVBand="1"/>
      </w:tblPr>
      <w:tblGrid>
        <w:gridCol w:w="1841"/>
        <w:gridCol w:w="4820"/>
        <w:gridCol w:w="1701"/>
        <w:gridCol w:w="2099"/>
      </w:tblGrid>
      <w:tr w:rsidR="002B67A6">
        <w:trPr>
          <w:trHeight w:val="476"/>
          <w:tblHeader/>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項目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教學成果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點數</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備註</w:t>
            </w:r>
          </w:p>
        </w:tc>
      </w:tr>
      <w:tr w:rsidR="002B67A6">
        <w:trPr>
          <w:trHeight w:val="686"/>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獲獎數量</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60</w:t>
            </w:r>
            <w:r>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1.1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年指導學生獲全國性獎項。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10</w:t>
            </w:r>
            <w:r>
              <w:rPr>
                <w:rFonts w:ascii="Times New Roman" w:eastAsia="標楷體" w:hAnsi="Times New Roman"/>
              </w:rPr>
              <w:t>點</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第一、二、三名（或相當等級者）分別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1.2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年指導學生獲國際性獎項。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20</w:t>
            </w:r>
            <w:r>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1.3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年教師本人榮獲教育部體育署有功教練獎勵。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20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1.4</w:t>
            </w:r>
            <w:r>
              <w:rPr>
                <w:rFonts w:ascii="Times New Roman" w:eastAsia="標楷體" w:hAnsi="Times New Roman"/>
              </w:rPr>
              <w:t>受國家徵召為國家代表隊之領隊、執行教練。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15</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1.5</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年教師本人榮獲教育部教學獎項，包括全國傑出通識教育教師獎、師鐸獎、木</w:t>
            </w:r>
            <w:proofErr w:type="gramStart"/>
            <w:r>
              <w:rPr>
                <w:rFonts w:ascii="Times New Roman" w:eastAsia="標楷體" w:hAnsi="Times New Roman"/>
              </w:rPr>
              <w:t>鐸</w:t>
            </w:r>
            <w:proofErr w:type="gramEnd"/>
            <w:r>
              <w:rPr>
                <w:rFonts w:ascii="Times New Roman" w:eastAsia="標楷體" w:hAnsi="Times New Roman"/>
              </w:rPr>
              <w:t>獎等。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30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1.6</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年教師本人榮獲校內教學獎項，包括傑出教學教師獎、傑出通識教育教師獎、教學特優教師彈性薪資獎勵。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20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1.7</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年教師本人榮獲校內教學獎項，包括開設遠距教學課程獎勵、優良教材開發獎勵等。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10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1.8</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年教師本人榮獲教育部通過遠距課程認證或</w:t>
            </w:r>
            <w:r>
              <w:rPr>
                <w:rFonts w:ascii="Times New Roman" w:eastAsia="標楷體" w:hAnsi="Times New Roman"/>
              </w:rPr>
              <w:t>MOOCs</w:t>
            </w:r>
            <w:r>
              <w:rPr>
                <w:rFonts w:ascii="Times New Roman" w:eastAsia="標楷體" w:hAnsi="Times New Roman"/>
              </w:rPr>
              <w:t>課程補助。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20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1.9</w:t>
            </w:r>
            <w:r>
              <w:rPr>
                <w:rFonts w:ascii="Times New Roman" w:eastAsia="標楷體" w:hAnsi="Times New Roman"/>
              </w:rPr>
              <w:t>其他相關教學</w:t>
            </w:r>
            <w:proofErr w:type="gramStart"/>
            <w:r>
              <w:rPr>
                <w:rFonts w:ascii="Times New Roman" w:eastAsia="標楷體" w:hAnsi="Times New Roman"/>
              </w:rPr>
              <w:t>獎項經教評</w:t>
            </w:r>
            <w:proofErr w:type="gramEnd"/>
            <w:r>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18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義務教學時數</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40</w:t>
            </w:r>
            <w:r>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年義務教學時數。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每義務教學時數</w:t>
            </w:r>
            <w:r>
              <w:rPr>
                <w:rFonts w:ascii="Times New Roman" w:eastAsia="標楷體" w:hAnsi="Times New Roman"/>
              </w:rPr>
              <w:t>1</w:t>
            </w:r>
            <w:r>
              <w:rPr>
                <w:rFonts w:ascii="Times New Roman" w:eastAsia="標楷體" w:hAnsi="Times New Roman"/>
              </w:rPr>
              <w:t>小時</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49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3.</w:t>
            </w:r>
            <w:r>
              <w:rPr>
                <w:rFonts w:ascii="Times New Roman" w:eastAsia="標楷體" w:hAnsi="Times New Roman"/>
              </w:rPr>
              <w:t>教學成果</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60</w:t>
            </w:r>
            <w:r>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rPr>
              <w:t>3.1</w:t>
            </w:r>
            <w:r>
              <w:rPr>
                <w:rFonts w:ascii="Times New Roman" w:eastAsia="標楷體" w:hAnsi="Times New Roman"/>
              </w:rPr>
              <w:t>擔任校內、外教學改進計畫（含子計畫）之主持人或實際執行人，例如：卓越師資培育計畫、以促進教學為主題之</w:t>
            </w:r>
            <w:r w:rsidR="004C3A92" w:rsidRPr="004C3A92">
              <w:rPr>
                <w:rFonts w:ascii="標楷體" w:eastAsia="標楷體" w:hAnsi="標楷體" w:hint="eastAsia"/>
                <w:color w:val="FF0000"/>
                <w:szCs w:val="24"/>
                <w:u w:val="single"/>
              </w:rPr>
              <w:t>國科會</w:t>
            </w:r>
            <w:r>
              <w:rPr>
                <w:rFonts w:ascii="Times New Roman" w:eastAsia="標楷體" w:hAnsi="Times New Roman"/>
              </w:rPr>
              <w:t>計畫、教學卓越計畫、高等教育深耕計畫及教育部之教學實踐研究計畫等。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10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61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rPr>
              <w:t>3.2</w:t>
            </w:r>
            <w:r>
              <w:rPr>
                <w:rFonts w:ascii="Times New Roman" w:eastAsia="標楷體" w:hAnsi="Times New Roman"/>
              </w:rPr>
              <w:t>指導學生</w:t>
            </w:r>
            <w:r w:rsidR="004C3A92" w:rsidRPr="004C3A92">
              <w:rPr>
                <w:rFonts w:ascii="標楷體" w:eastAsia="標楷體" w:hAnsi="標楷體" w:hint="eastAsia"/>
                <w:color w:val="FF0000"/>
                <w:szCs w:val="24"/>
                <w:u w:val="single"/>
              </w:rPr>
              <w:t>國科會</w:t>
            </w:r>
            <w:r>
              <w:rPr>
                <w:rFonts w:ascii="Times New Roman" w:eastAsia="標楷體" w:hAnsi="Times New Roman"/>
              </w:rPr>
              <w:t>大專生專題計畫。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15</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782"/>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3.3</w:t>
            </w:r>
            <w:r>
              <w:rPr>
                <w:rFonts w:ascii="Times New Roman" w:eastAsia="標楷體" w:hAnsi="Times New Roman"/>
              </w:rPr>
              <w:t>舉辦校級或校際之教學促進成果發表會（具相關佐證資料）。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每次</w:t>
            </w:r>
            <w:r>
              <w:rPr>
                <w:rFonts w:ascii="Times New Roman" w:eastAsia="標楷體" w:hAnsi="Times New Roman"/>
              </w:rPr>
              <w:t>5</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849"/>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3.4</w:t>
            </w:r>
            <w:r>
              <w:rPr>
                <w:rFonts w:ascii="Times New Roman" w:eastAsia="標楷體" w:hAnsi="Times New Roman"/>
              </w:rPr>
              <w:t>配合學校整體教學規劃之需求，開設全英語授課課程。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每門課</w:t>
            </w:r>
            <w:r>
              <w:rPr>
                <w:rFonts w:ascii="Times New Roman" w:eastAsia="標楷體" w:hAnsi="Times New Roman"/>
              </w:rPr>
              <w:t>5</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同一門課只能</w:t>
            </w:r>
            <w:proofErr w:type="gramStart"/>
            <w:r>
              <w:rPr>
                <w:rFonts w:ascii="Times New Roman" w:eastAsia="標楷體" w:hAnsi="Times New Roman"/>
              </w:rPr>
              <w:t>採</w:t>
            </w:r>
            <w:proofErr w:type="gramEnd"/>
            <w:r>
              <w:rPr>
                <w:rFonts w:ascii="Times New Roman" w:eastAsia="標楷體" w:hAnsi="Times New Roman"/>
              </w:rPr>
              <w:t>計一次，如有外籍</w:t>
            </w:r>
            <w:proofErr w:type="gramStart"/>
            <w:r>
              <w:rPr>
                <w:rFonts w:ascii="Times New Roman" w:eastAsia="標楷體" w:hAnsi="Times New Roman"/>
              </w:rPr>
              <w:t>生修課</w:t>
            </w:r>
            <w:proofErr w:type="gramEnd"/>
            <w:r>
              <w:rPr>
                <w:rFonts w:ascii="Times New Roman" w:eastAsia="標楷體" w:hAnsi="Times New Roman"/>
              </w:rPr>
              <w:t>者則不受限制。</w:t>
            </w:r>
          </w:p>
        </w:tc>
      </w:tr>
      <w:tr w:rsidR="002B67A6">
        <w:trPr>
          <w:trHeight w:val="511"/>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3.5</w:t>
            </w:r>
            <w:r>
              <w:rPr>
                <w:rFonts w:ascii="Times New Roman" w:eastAsia="標楷體" w:hAnsi="Times New Roman"/>
              </w:rPr>
              <w:t>開設數位學習專班之課程。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每門課</w:t>
            </w:r>
            <w:r>
              <w:rPr>
                <w:rFonts w:ascii="Times New Roman" w:eastAsia="標楷體" w:hAnsi="Times New Roman"/>
              </w:rPr>
              <w:t>10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同一門課只能</w:t>
            </w:r>
            <w:proofErr w:type="gramStart"/>
            <w:r>
              <w:rPr>
                <w:rFonts w:ascii="Times New Roman" w:eastAsia="標楷體" w:hAnsi="Times New Roman"/>
              </w:rPr>
              <w:t>採</w:t>
            </w:r>
            <w:proofErr w:type="gramEnd"/>
            <w:r>
              <w:rPr>
                <w:rFonts w:ascii="Times New Roman" w:eastAsia="標楷體" w:hAnsi="Times New Roman"/>
              </w:rPr>
              <w:t>計一次，如開設</w:t>
            </w:r>
            <w:r>
              <w:rPr>
                <w:rFonts w:ascii="Times New Roman" w:eastAsia="標楷體" w:hAnsi="Times New Roman"/>
              </w:rPr>
              <w:t>2</w:t>
            </w:r>
            <w:r>
              <w:rPr>
                <w:rFonts w:ascii="Times New Roman" w:eastAsia="標楷體" w:hAnsi="Times New Roman"/>
              </w:rPr>
              <w:t>個專班以上者則不受限制。（請送件者自行舉證）</w:t>
            </w:r>
          </w:p>
        </w:tc>
      </w:tr>
      <w:tr w:rsidR="002B67A6">
        <w:trPr>
          <w:trHeight w:val="54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3.6</w:t>
            </w:r>
            <w:r>
              <w:rPr>
                <w:rFonts w:ascii="Times New Roman" w:eastAsia="標楷體" w:hAnsi="Times New Roman"/>
              </w:rPr>
              <w:t>開發數位教材置於本校網路教學平台供學生學習。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每門課</w:t>
            </w:r>
            <w:r>
              <w:rPr>
                <w:rFonts w:ascii="Times New Roman" w:eastAsia="標楷體" w:hAnsi="Times New Roman"/>
              </w:rPr>
              <w:t>3</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備註：同一門課只能</w:t>
            </w:r>
            <w:proofErr w:type="gramStart"/>
            <w:r>
              <w:rPr>
                <w:rFonts w:ascii="Times New Roman" w:eastAsia="標楷體" w:hAnsi="Times New Roman"/>
              </w:rPr>
              <w:t>採</w:t>
            </w:r>
            <w:proofErr w:type="gramEnd"/>
            <w:r>
              <w:rPr>
                <w:rFonts w:ascii="Times New Roman" w:eastAsia="標楷體" w:hAnsi="Times New Roman"/>
              </w:rPr>
              <w:t>計一次，惟教材修改超過</w:t>
            </w:r>
            <w:r>
              <w:rPr>
                <w:rFonts w:ascii="Times New Roman" w:eastAsia="標楷體" w:hAnsi="Times New Roman"/>
              </w:rPr>
              <w:t>1/2</w:t>
            </w:r>
            <w:r>
              <w:rPr>
                <w:rFonts w:ascii="Times New Roman" w:eastAsia="標楷體" w:hAnsi="Times New Roman"/>
              </w:rPr>
              <w:t>以上，不受限制。（請送件者自行舉證）</w:t>
            </w:r>
          </w:p>
        </w:tc>
      </w:tr>
      <w:tr w:rsidR="002B67A6">
        <w:trPr>
          <w:trHeight w:val="19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3.7</w:t>
            </w:r>
            <w:r>
              <w:rPr>
                <w:rFonts w:ascii="Times New Roman" w:eastAsia="標楷體" w:hAnsi="Times New Roman"/>
              </w:rPr>
              <w:t>參與本校教師教學專業社群並擔任召集人。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每學期</w:t>
            </w:r>
            <w:r>
              <w:rPr>
                <w:rFonts w:ascii="Times New Roman" w:eastAsia="標楷體" w:hAnsi="Times New Roman"/>
              </w:rPr>
              <w:t>3</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815"/>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3.8</w:t>
            </w:r>
            <w:r>
              <w:rPr>
                <w:rFonts w:ascii="Times New Roman" w:eastAsia="標楷體" w:hAnsi="Times New Roman"/>
              </w:rPr>
              <w:t>擔任校內、外教師成長相關活動之主講人。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每次</w:t>
            </w:r>
            <w:r>
              <w:rPr>
                <w:rFonts w:ascii="Times New Roman" w:eastAsia="標楷體" w:hAnsi="Times New Roman"/>
              </w:rPr>
              <w:t>3</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722"/>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3.9</w:t>
            </w:r>
            <w:r>
              <w:rPr>
                <w:rFonts w:ascii="Times New Roman" w:eastAsia="標楷體" w:hAnsi="Times New Roman"/>
              </w:rPr>
              <w:t>參與校內舉辦之教師成長相關活動。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每次</w:t>
            </w:r>
            <w:r>
              <w:rPr>
                <w:rFonts w:ascii="Times New Roman" w:eastAsia="標楷體" w:hAnsi="Times New Roman"/>
              </w:rPr>
              <w:t>1</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最高</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w:t>
            </w:r>
            <w:r>
              <w:rPr>
                <w:rFonts w:ascii="Times New Roman" w:eastAsia="標楷體" w:hAnsi="Times New Roman"/>
              </w:rPr>
              <w:t>點</w:t>
            </w:r>
          </w:p>
        </w:tc>
      </w:tr>
      <w:tr w:rsidR="002B67A6">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1" w:hanging="521"/>
              <w:jc w:val="both"/>
              <w:rPr>
                <w:rFonts w:ascii="Times New Roman" w:eastAsia="標楷體" w:hAnsi="Times New Roman"/>
              </w:rPr>
            </w:pPr>
            <w:r>
              <w:rPr>
                <w:rFonts w:ascii="Times New Roman" w:eastAsia="標楷體" w:hAnsi="Times New Roman"/>
              </w:rPr>
              <w:t>3.10</w:t>
            </w:r>
            <w:r>
              <w:rPr>
                <w:rFonts w:ascii="Times New Roman" w:eastAsia="標楷體" w:hAnsi="Times New Roman"/>
              </w:rPr>
              <w:t>其他具有教學成效之具體成果，</w:t>
            </w:r>
            <w:proofErr w:type="gramStart"/>
            <w:r>
              <w:rPr>
                <w:rFonts w:ascii="Times New Roman" w:eastAsia="標楷體" w:hAnsi="Times New Roman"/>
              </w:rPr>
              <w:t>經教評</w:t>
            </w:r>
            <w:proofErr w:type="gramEnd"/>
            <w:r>
              <w:rPr>
                <w:rFonts w:ascii="Times New Roman" w:eastAsia="標楷體" w:hAnsi="Times New Roman"/>
              </w:rPr>
              <w:t>會委員認可者。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97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4.</w:t>
            </w:r>
            <w:r>
              <w:rPr>
                <w:rFonts w:ascii="Times New Roman" w:eastAsia="標楷體" w:hAnsi="Times New Roman"/>
              </w:rPr>
              <w:t>運動成就</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50</w:t>
            </w:r>
            <w:r>
              <w:rPr>
                <w:rFonts w:ascii="Times New Roman" w:eastAsia="標楷體" w:hAnsi="Times New Roman"/>
              </w:rPr>
              <w:t>點）</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1" w:hanging="521"/>
              <w:jc w:val="both"/>
              <w:rPr>
                <w:rFonts w:ascii="Times New Roman" w:eastAsia="標楷體" w:hAnsi="Times New Roman"/>
              </w:rPr>
            </w:pPr>
            <w:r>
              <w:rPr>
                <w:rFonts w:ascii="Times New Roman" w:eastAsia="標楷體" w:hAnsi="Times New Roman"/>
              </w:rPr>
              <w:t>4.1(1)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年參加奧運獲前八名者。</w:t>
            </w:r>
          </w:p>
          <w:p w:rsidR="002B67A6" w:rsidRDefault="00FC01AE">
            <w:pPr>
              <w:ind w:left="600" w:hanging="283"/>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年參加亞運獲前三名者。</w:t>
            </w:r>
          </w:p>
          <w:p w:rsidR="002B67A6" w:rsidRDefault="00FC01AE">
            <w:pPr>
              <w:ind w:left="600" w:hanging="283"/>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年參加奧運正式競賽項目之世界正式錦標賽獲前三名者。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40</w:t>
            </w:r>
            <w:r>
              <w:rPr>
                <w:rFonts w:ascii="Times New Roman" w:eastAsia="標楷體" w:hAnsi="Times New Roman"/>
              </w:rPr>
              <w:t>點</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numPr>
                <w:ilvl w:val="0"/>
                <w:numId w:val="2"/>
              </w:numPr>
              <w:ind w:left="176" w:right="-103" w:hanging="176"/>
              <w:jc w:val="both"/>
              <w:rPr>
                <w:rFonts w:ascii="Times New Roman" w:eastAsia="標楷體" w:hAnsi="Times New Roman"/>
              </w:rPr>
            </w:pPr>
            <w:r>
              <w:rPr>
                <w:rFonts w:ascii="Times New Roman" w:eastAsia="標楷體" w:hAnsi="Times New Roman"/>
              </w:rPr>
              <w:t>除奧運前八名外，其餘第一、二、三名（或相當等級者）分別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p w:rsidR="002B67A6" w:rsidRDefault="00FC01AE">
            <w:pPr>
              <w:numPr>
                <w:ilvl w:val="0"/>
                <w:numId w:val="2"/>
              </w:numPr>
              <w:ind w:left="177" w:hanging="177"/>
              <w:jc w:val="both"/>
              <w:rPr>
                <w:rFonts w:ascii="Times New Roman" w:eastAsia="標楷體" w:hAnsi="Times New Roman"/>
              </w:rPr>
            </w:pPr>
            <w:r>
              <w:rPr>
                <w:rFonts w:ascii="Times New Roman" w:eastAsia="標楷體" w:hAnsi="Times New Roman"/>
              </w:rPr>
              <w:t>本項目限指導學生參賽。指導選手係指由本校體育室或全國性體育組織</w:t>
            </w:r>
            <w:proofErr w:type="gramStart"/>
            <w:r>
              <w:rPr>
                <w:rFonts w:ascii="Times New Roman" w:eastAsia="標楷體" w:hAnsi="Times New Roman"/>
              </w:rPr>
              <w:t>正式發聘為</w:t>
            </w:r>
            <w:proofErr w:type="gramEnd"/>
            <w:r>
              <w:rPr>
                <w:rFonts w:ascii="Times New Roman" w:eastAsia="標楷體" w:hAnsi="Times New Roman"/>
              </w:rPr>
              <w:t>該選手所屬代表隊教練。</w:t>
            </w:r>
          </w:p>
          <w:p w:rsidR="002B67A6" w:rsidRDefault="00FC01AE">
            <w:pPr>
              <w:numPr>
                <w:ilvl w:val="0"/>
                <w:numId w:val="2"/>
              </w:numPr>
              <w:ind w:left="177" w:hanging="177"/>
              <w:jc w:val="both"/>
            </w:pPr>
            <w:r>
              <w:rPr>
                <w:rFonts w:ascii="Times New Roman" w:eastAsia="標楷體" w:hAnsi="Times New Roman"/>
              </w:rPr>
              <w:t>近</w:t>
            </w:r>
            <w:r>
              <w:rPr>
                <w:rFonts w:ascii="Times New Roman" w:eastAsia="標楷體" w:hAnsi="Times New Roman"/>
              </w:rPr>
              <w:t>5</w:t>
            </w:r>
            <w:r>
              <w:rPr>
                <w:rFonts w:ascii="Times New Roman" w:eastAsia="標楷體" w:hAnsi="Times New Roman"/>
              </w:rPr>
              <w:t>年</w:t>
            </w:r>
            <w:r>
              <w:rPr>
                <w:rFonts w:ascii="Times New Roman" w:eastAsia="標楷體" w:hAnsi="Times New Roman"/>
                <w:kern w:val="0"/>
              </w:rPr>
              <w:t>參加國內、外其他重要</w:t>
            </w:r>
            <w:r>
              <w:rPr>
                <w:rFonts w:ascii="Times New Roman" w:eastAsia="標楷體" w:hAnsi="Times New Roman"/>
                <w:kern w:val="0"/>
              </w:rPr>
              <w:lastRenderedPageBreak/>
              <w:t>比賽獲前三名者，得由系所教評會視情況</w:t>
            </w:r>
            <w:proofErr w:type="gramStart"/>
            <w:r>
              <w:rPr>
                <w:rFonts w:ascii="Times New Roman" w:eastAsia="標楷體" w:hAnsi="Times New Roman"/>
                <w:kern w:val="0"/>
              </w:rPr>
              <w:t>酌予給分</w:t>
            </w:r>
            <w:proofErr w:type="gramEnd"/>
            <w:r>
              <w:rPr>
                <w:rFonts w:ascii="Times New Roman" w:eastAsia="標楷體" w:hAnsi="Times New Roman"/>
                <w:kern w:val="0"/>
              </w:rPr>
              <w:t>。</w:t>
            </w:r>
          </w:p>
        </w:tc>
      </w:tr>
      <w:tr w:rsidR="002B67A6">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4.2(1)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年參加世界運動會獲前三名者。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年參加世界大學運動會獲前三名者。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年參加非奧運或非亞運正式競賽項目之世界正式錦標賽獲前三名者。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年參加亞運正式競賽項目之亞洲正式錦標賽獲前三名者。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30</w:t>
            </w:r>
            <w:r>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64" w:hanging="564"/>
              <w:jc w:val="both"/>
              <w:rPr>
                <w:rFonts w:ascii="Times New Roman" w:eastAsia="標楷體" w:hAnsi="Times New Roman"/>
              </w:rPr>
            </w:pPr>
            <w:r>
              <w:rPr>
                <w:rFonts w:ascii="Times New Roman" w:eastAsia="標楷體" w:hAnsi="Times New Roman"/>
              </w:rPr>
              <w:t>4.3(1)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年參加國際學校運動會獲前三名者。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年參加非亞運正式競賽項目之亞洲正式錦標賽獲前三名者。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年參加世界大學正式錦標賽獲前三</w:t>
            </w:r>
            <w:r>
              <w:rPr>
                <w:rFonts w:ascii="Times New Roman" w:eastAsia="標楷體" w:hAnsi="Times New Roman"/>
              </w:rPr>
              <w:lastRenderedPageBreak/>
              <w:t>名者。</w:t>
            </w:r>
          </w:p>
          <w:p w:rsidR="002B67A6" w:rsidRDefault="00FC01AE">
            <w:pPr>
              <w:ind w:left="598" w:hanging="28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年參加世界青年正式錦標賽獲前三名者。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lastRenderedPageBreak/>
              <w:t>每項</w:t>
            </w:r>
            <w:r>
              <w:rPr>
                <w:rFonts w:ascii="Times New Roman" w:eastAsia="標楷體" w:hAnsi="Times New Roman"/>
              </w:rPr>
              <w:t>20</w:t>
            </w:r>
            <w:r>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4.4(1)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年參加全國運動會獲前三名者。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年參加全國大專校院運動會獲前三名者。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年參加教育部核定辦理之大專校院運動聯賽最優級組獲前三名者。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10</w:t>
            </w:r>
            <w:r>
              <w:rPr>
                <w:rFonts w:ascii="Times New Roman" w:eastAsia="標楷體" w:hAnsi="Times New Roman"/>
              </w:rPr>
              <w:t>點</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97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5.</w:t>
            </w:r>
            <w:r>
              <w:rPr>
                <w:rFonts w:ascii="Times New Roman" w:eastAsia="標楷體" w:hAnsi="Times New Roman"/>
              </w:rPr>
              <w:t>整合型計畫</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年擔任以改進教學、人才培育為主題之整合型計畫總主持人（需有行政管理費）。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每件</w:t>
            </w:r>
            <w:r>
              <w:rPr>
                <w:rFonts w:ascii="Times New Roman" w:eastAsia="標楷體" w:hAnsi="Times New Roman"/>
              </w:rPr>
              <w:t>20</w:t>
            </w:r>
            <w:r>
              <w:rPr>
                <w:rFonts w:ascii="Times New Roman" w:eastAsia="標楷體" w:hAnsi="Times New Roman"/>
              </w:rPr>
              <w:t>點</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不可與</w:t>
            </w:r>
            <w:r>
              <w:rPr>
                <w:rFonts w:ascii="Times New Roman" w:eastAsia="標楷體" w:hAnsi="Times New Roman"/>
              </w:rPr>
              <w:t>3.1</w:t>
            </w:r>
            <w:r>
              <w:rPr>
                <w:rFonts w:ascii="Times New Roman" w:eastAsia="標楷體" w:hAnsi="Times New Roman"/>
              </w:rPr>
              <w:t>重複</w:t>
            </w:r>
            <w:proofErr w:type="gramStart"/>
            <w:r>
              <w:rPr>
                <w:rFonts w:ascii="Times New Roman" w:eastAsia="標楷體" w:hAnsi="Times New Roman"/>
              </w:rPr>
              <w:t>採</w:t>
            </w:r>
            <w:proofErr w:type="gramEnd"/>
            <w:r>
              <w:rPr>
                <w:rFonts w:ascii="Times New Roman" w:eastAsia="標楷體" w:hAnsi="Times New Roman"/>
              </w:rPr>
              <w:t>計</w:t>
            </w:r>
          </w:p>
        </w:tc>
      </w:tr>
      <w:tr w:rsidR="002B67A6">
        <w:trPr>
          <w:trHeight w:val="1412"/>
          <w:jc w:val="center"/>
        </w:trPr>
        <w:tc>
          <w:tcPr>
            <w:tcW w:w="104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1</w:t>
            </w:r>
            <w:r>
              <w:rPr>
                <w:rFonts w:ascii="Times New Roman" w:eastAsia="標楷體" w:hAnsi="Times New Roman"/>
              </w:rPr>
              <w:t>：已計入前一級升等成果者，不得列入次一級升等成果計算。</w:t>
            </w:r>
          </w:p>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2</w:t>
            </w:r>
            <w:r>
              <w:rPr>
                <w:rFonts w:ascii="Times New Roman" w:eastAsia="標楷體" w:hAnsi="Times New Roman"/>
              </w:rPr>
              <w:t>：各項計畫必須為擔任主持人或實際計畫執行人，但每項計畫</w:t>
            </w:r>
            <w:proofErr w:type="gramStart"/>
            <w:r>
              <w:rPr>
                <w:rFonts w:ascii="Times New Roman" w:eastAsia="標楷體" w:hAnsi="Times New Roman"/>
              </w:rPr>
              <w:t>僅能擇</w:t>
            </w:r>
            <w:proofErr w:type="gramEnd"/>
            <w:r>
              <w:rPr>
                <w:rFonts w:ascii="Times New Roman" w:eastAsia="標楷體" w:hAnsi="Times New Roman"/>
              </w:rPr>
              <w:t>一人計點。</w:t>
            </w:r>
          </w:p>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3</w:t>
            </w:r>
            <w:r>
              <w:rPr>
                <w:rFonts w:ascii="Times New Roman" w:eastAsia="標楷體" w:hAnsi="Times New Roman"/>
              </w:rPr>
              <w:t>：教學評量成績之</w:t>
            </w:r>
            <w:proofErr w:type="gramStart"/>
            <w:r>
              <w:rPr>
                <w:rFonts w:ascii="Times New Roman" w:eastAsia="標楷體" w:hAnsi="Times New Roman"/>
              </w:rPr>
              <w:t>採</w:t>
            </w:r>
            <w:proofErr w:type="gramEnd"/>
            <w:r>
              <w:rPr>
                <w:rFonts w:ascii="Times New Roman" w:eastAsia="標楷體" w:hAnsi="Times New Roman"/>
              </w:rPr>
              <w:t>計</w:t>
            </w:r>
            <w:proofErr w:type="gramStart"/>
            <w:r>
              <w:rPr>
                <w:rFonts w:ascii="Times New Roman" w:eastAsia="標楷體" w:hAnsi="Times New Roman"/>
              </w:rPr>
              <w:t>不含升</w:t>
            </w:r>
            <w:proofErr w:type="gramEnd"/>
            <w:r>
              <w:rPr>
                <w:rFonts w:ascii="Times New Roman" w:eastAsia="標楷體" w:hAnsi="Times New Roman"/>
              </w:rPr>
              <w:t>等當學期。</w:t>
            </w:r>
          </w:p>
        </w:tc>
      </w:tr>
    </w:tbl>
    <w:p w:rsidR="00A1039A" w:rsidRDefault="00A1039A">
      <w:pPr>
        <w:sectPr w:rsidR="00A1039A">
          <w:pgSz w:w="12240" w:h="15840"/>
          <w:pgMar w:top="1134" w:right="1134" w:bottom="1134" w:left="1134" w:header="720" w:footer="720" w:gutter="0"/>
          <w:cols w:space="720"/>
          <w:docGrid w:type="lines" w:linePitch="366"/>
        </w:sectPr>
      </w:pPr>
    </w:p>
    <w:p w:rsidR="002B67A6" w:rsidRDefault="00FC01AE">
      <w:pPr>
        <w:rPr>
          <w:rFonts w:ascii="Times New Roman" w:eastAsia="標楷體" w:hAnsi="Times New Roman"/>
          <w:sz w:val="20"/>
          <w:szCs w:val="20"/>
        </w:rPr>
      </w:pPr>
      <w:r>
        <w:rPr>
          <w:rFonts w:ascii="Times New Roman" w:eastAsia="標楷體" w:hAnsi="Times New Roman"/>
          <w:sz w:val="20"/>
          <w:szCs w:val="20"/>
        </w:rPr>
        <w:lastRenderedPageBreak/>
        <w:t>附表</w:t>
      </w:r>
      <w:proofErr w:type="gramStart"/>
      <w:r>
        <w:rPr>
          <w:rFonts w:ascii="Times New Roman" w:eastAsia="標楷體" w:hAnsi="Times New Roman"/>
          <w:sz w:val="20"/>
          <w:szCs w:val="20"/>
        </w:rPr>
        <w:t>三</w:t>
      </w:r>
      <w:proofErr w:type="gramEnd"/>
    </w:p>
    <w:p w:rsidR="002B67A6" w:rsidRDefault="00FC01AE">
      <w:pPr>
        <w:spacing w:after="180"/>
        <w:jc w:val="center"/>
        <w:rPr>
          <w:rFonts w:ascii="Times New Roman" w:eastAsia="標楷體" w:hAnsi="Times New Roman"/>
          <w:sz w:val="28"/>
          <w:szCs w:val="28"/>
        </w:rPr>
      </w:pPr>
      <w:r>
        <w:rPr>
          <w:rFonts w:ascii="Times New Roman" w:eastAsia="標楷體" w:hAnsi="Times New Roman"/>
          <w:sz w:val="28"/>
          <w:szCs w:val="28"/>
        </w:rPr>
        <w:t>技術應用研究成果點數</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計表</w:t>
      </w:r>
    </w:p>
    <w:tbl>
      <w:tblPr>
        <w:tblW w:w="10660" w:type="dxa"/>
        <w:jc w:val="center"/>
        <w:tblCellMar>
          <w:left w:w="10" w:type="dxa"/>
          <w:right w:w="10" w:type="dxa"/>
        </w:tblCellMar>
        <w:tblLook w:val="04A0" w:firstRow="1" w:lastRow="0" w:firstColumn="1" w:lastColumn="0" w:noHBand="0" w:noVBand="1"/>
      </w:tblPr>
      <w:tblGrid>
        <w:gridCol w:w="1838"/>
        <w:gridCol w:w="4864"/>
        <w:gridCol w:w="1722"/>
        <w:gridCol w:w="2236"/>
      </w:tblGrid>
      <w:tr w:rsidR="002B67A6">
        <w:trPr>
          <w:trHeight w:val="498"/>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項目</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技術應用成果</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點數</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備註</w:t>
            </w:r>
          </w:p>
        </w:tc>
      </w:tr>
      <w:tr w:rsidR="002B67A6">
        <w:trPr>
          <w:trHeight w:val="661"/>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著作成果</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kern w:val="0"/>
              </w:rPr>
              <w:t>1.1</w:t>
            </w:r>
            <w:r>
              <w:rPr>
                <w:rFonts w:ascii="Times New Roman" w:eastAsia="標楷體" w:hAnsi="Times New Roman"/>
                <w:kern w:val="0"/>
              </w:rPr>
              <w:t>近</w:t>
            </w:r>
            <w:r>
              <w:rPr>
                <w:rFonts w:ascii="Times New Roman" w:eastAsia="標楷體" w:hAnsi="Times New Roman"/>
                <w:kern w:val="0"/>
              </w:rPr>
              <w:t>7</w:t>
            </w:r>
            <w:r>
              <w:rPr>
                <w:rFonts w:ascii="Times New Roman" w:eastAsia="標楷體" w:hAnsi="Times New Roman"/>
                <w:kern w:val="0"/>
              </w:rPr>
              <w:t>年刊登於</w:t>
            </w:r>
            <w:r>
              <w:rPr>
                <w:rFonts w:ascii="Times New Roman" w:eastAsia="標楷體" w:hAnsi="Times New Roman"/>
              </w:rPr>
              <w:t>SCI</w:t>
            </w:r>
            <w:r>
              <w:rPr>
                <w:rFonts w:ascii="Times New Roman" w:eastAsia="標楷體" w:hAnsi="Times New Roman"/>
                <w:kern w:val="0"/>
              </w:rPr>
              <w:t>(E)</w:t>
            </w:r>
            <w:r>
              <w:rPr>
                <w:rFonts w:ascii="Times New Roman" w:eastAsia="標楷體" w:hAnsi="Times New Roman"/>
              </w:rPr>
              <w:t>、</w:t>
            </w:r>
            <w:r>
              <w:rPr>
                <w:rFonts w:ascii="Times New Roman" w:eastAsia="標楷體" w:hAnsi="Times New Roman"/>
                <w:szCs w:val="20"/>
              </w:rPr>
              <w:t>SSCI</w:t>
            </w:r>
            <w:r>
              <w:rPr>
                <w:rFonts w:ascii="Times New Roman" w:eastAsia="標楷體" w:hAnsi="Times New Roman"/>
                <w:szCs w:val="20"/>
              </w:rPr>
              <w:t>、</w:t>
            </w:r>
            <w:r>
              <w:rPr>
                <w:rFonts w:ascii="Times New Roman" w:eastAsia="標楷體" w:hAnsi="Times New Roman"/>
              </w:rPr>
              <w:t>TSSCI</w:t>
            </w:r>
            <w:r>
              <w:rPr>
                <w:rFonts w:ascii="Times New Roman" w:eastAsia="標楷體" w:hAnsi="Times New Roman"/>
              </w:rPr>
              <w:t>（第一級與第二級）、</w:t>
            </w:r>
            <w:r>
              <w:rPr>
                <w:rFonts w:ascii="Times New Roman" w:eastAsia="標楷體" w:hAnsi="Times New Roman"/>
              </w:rPr>
              <w:t>THCI</w:t>
            </w:r>
            <w:r>
              <w:rPr>
                <w:rFonts w:ascii="Times New Roman" w:eastAsia="標楷體" w:hAnsi="Times New Roman"/>
              </w:rPr>
              <w:t>（第一級與第二級）、</w:t>
            </w:r>
            <w:r>
              <w:rPr>
                <w:rFonts w:ascii="Times New Roman" w:eastAsia="標楷體" w:hAnsi="Times New Roman"/>
              </w:rPr>
              <w:t>A&amp;HCI</w:t>
            </w:r>
            <w:r>
              <w:rPr>
                <w:rFonts w:ascii="Times New Roman" w:eastAsia="標楷體" w:hAnsi="Times New Roman"/>
              </w:rPr>
              <w:t>所列之</w:t>
            </w:r>
            <w:r>
              <w:rPr>
                <w:rFonts w:ascii="Times New Roman" w:eastAsia="標楷體" w:hAnsi="Times New Roman"/>
                <w:szCs w:val="20"/>
              </w:rPr>
              <w:t>期刊</w:t>
            </w:r>
            <w:r>
              <w:rPr>
                <w:rFonts w:ascii="Times New Roman" w:eastAsia="標楷體" w:hAnsi="Times New Roman"/>
              </w:rPr>
              <w:t>論文</w:t>
            </w:r>
            <w:r>
              <w:rPr>
                <w:rFonts w:ascii="Times New Roman" w:eastAsia="標楷體" w:hAnsi="Times New Roman"/>
                <w:kern w:val="0"/>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szCs w:val="20"/>
              </w:rPr>
              <w:t>SSCI</w:t>
            </w:r>
            <w:r>
              <w:rPr>
                <w:rFonts w:ascii="Times New Roman" w:eastAsia="標楷體" w:hAnsi="Times New Roman"/>
              </w:rPr>
              <w:t>每篇</w:t>
            </w:r>
            <w:r>
              <w:rPr>
                <w:rFonts w:ascii="Times New Roman" w:eastAsia="標楷體" w:hAnsi="Times New Roman"/>
              </w:rPr>
              <w:t>30</w:t>
            </w:r>
            <w:r>
              <w:rPr>
                <w:rFonts w:ascii="Times New Roman" w:eastAsia="標楷體" w:hAnsi="Times New Roman"/>
              </w:rPr>
              <w:t>點，其他每篇</w:t>
            </w:r>
            <w:r>
              <w:rPr>
                <w:rFonts w:ascii="Times New Roman" w:eastAsia="標楷體" w:hAnsi="Times New Roman"/>
              </w:rPr>
              <w:t>15</w:t>
            </w:r>
            <w:r>
              <w:rPr>
                <w:rFonts w:ascii="Times New Roman" w:eastAsia="標楷體" w:hAnsi="Times New Roman"/>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1</w:t>
            </w:r>
            <w:r>
              <w:rPr>
                <w:rFonts w:ascii="Times New Roman" w:eastAsia="標楷體" w:hAnsi="Times New Roman"/>
              </w:rPr>
              <w:t>之著作成果不得再計算點數。第一作者或通訊作者</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％，第二作者</w:t>
            </w:r>
            <w:r>
              <w:rPr>
                <w:rFonts w:ascii="Times New Roman" w:eastAsia="標楷體" w:hAnsi="Times New Roman"/>
              </w:rPr>
              <w:t>80</w:t>
            </w:r>
            <w:r>
              <w:rPr>
                <w:rFonts w:ascii="Times New Roman" w:eastAsia="標楷體" w:hAnsi="Times New Roman"/>
              </w:rPr>
              <w:t>％，第三作者（含）以上</w:t>
            </w:r>
            <w:r>
              <w:rPr>
                <w:rFonts w:ascii="Times New Roman" w:eastAsia="標楷體" w:hAnsi="Times New Roman"/>
              </w:rPr>
              <w:t>60</w:t>
            </w:r>
            <w:r>
              <w:rPr>
                <w:rFonts w:ascii="Times New Roman" w:eastAsia="標楷體" w:hAnsi="Times New Roman"/>
              </w:rPr>
              <w:t>％之點數。</w:t>
            </w:r>
          </w:p>
        </w:tc>
      </w:tr>
      <w:tr w:rsidR="002B67A6">
        <w:trPr>
          <w:trHeight w:val="13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rPr>
              <w:t>1.2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年刊登於經各學術領域認可之國內、</w:t>
            </w:r>
            <w:proofErr w:type="gramStart"/>
            <w:r>
              <w:rPr>
                <w:rFonts w:ascii="Times New Roman" w:eastAsia="標楷體" w:hAnsi="Times New Roman"/>
              </w:rPr>
              <w:t>外具審查</w:t>
            </w:r>
            <w:proofErr w:type="gramEnd"/>
            <w:r>
              <w:rPr>
                <w:rFonts w:ascii="Times New Roman" w:eastAsia="標楷體" w:hAnsi="Times New Roman"/>
              </w:rPr>
              <w:t>制度之學術或專業刊物之論文</w:t>
            </w:r>
            <w:r>
              <w:rPr>
                <w:rFonts w:ascii="Times New Roman" w:eastAsia="標楷體" w:hAnsi="Times New Roman"/>
                <w:kern w:val="0"/>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每篇</w:t>
            </w:r>
            <w:r>
              <w:rPr>
                <w:rFonts w:ascii="Times New Roman" w:eastAsia="標楷體" w:hAnsi="Times New Roman"/>
              </w:rPr>
              <w:t>10</w:t>
            </w:r>
            <w:r>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21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1.3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年之技術報告、經嚴謹制度審查之成就證明或經嚴謹制度審查，且已發表或出版並公開發行之專書或專章、作品等，</w:t>
            </w:r>
            <w:proofErr w:type="gramStart"/>
            <w:r>
              <w:rPr>
                <w:rFonts w:ascii="Times New Roman" w:eastAsia="標楷體" w:hAnsi="Times New Roman"/>
              </w:rPr>
              <w:t>並經教評</w:t>
            </w:r>
            <w:proofErr w:type="gramEnd"/>
            <w:r>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210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2.</w:t>
            </w:r>
            <w:r>
              <w:rPr>
                <w:rFonts w:ascii="Times New Roman" w:eastAsia="標楷體" w:hAnsi="Times New Roman"/>
              </w:rPr>
              <w:t>發明專利</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年取得之國內、外發明專利。</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kern w:val="0"/>
              </w:rPr>
              <w:t>國外專利每件</w:t>
            </w:r>
            <w:r>
              <w:rPr>
                <w:rFonts w:ascii="Times New Roman" w:eastAsia="標楷體" w:hAnsi="Times New Roman"/>
                <w:kern w:val="0"/>
              </w:rPr>
              <w:t>20</w:t>
            </w:r>
            <w:r>
              <w:rPr>
                <w:rFonts w:ascii="Times New Roman" w:eastAsia="標楷體" w:hAnsi="Times New Roman"/>
                <w:kern w:val="0"/>
              </w:rPr>
              <w:t>點；國內專利每件</w:t>
            </w:r>
            <w:r>
              <w:rPr>
                <w:rFonts w:ascii="Times New Roman" w:eastAsia="標楷體" w:hAnsi="Times New Roman"/>
                <w:kern w:val="0"/>
              </w:rPr>
              <w:t>10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發明人為一位時</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％，二位時</w:t>
            </w:r>
            <w:r>
              <w:rPr>
                <w:rFonts w:ascii="Times New Roman" w:eastAsia="標楷體" w:hAnsi="Times New Roman"/>
              </w:rPr>
              <w:t>80</w:t>
            </w:r>
            <w:r>
              <w:rPr>
                <w:rFonts w:ascii="Times New Roman" w:eastAsia="標楷體" w:hAnsi="Times New Roman"/>
              </w:rPr>
              <w:t>％，三位時</w:t>
            </w:r>
            <w:r>
              <w:rPr>
                <w:rFonts w:ascii="Times New Roman" w:eastAsia="標楷體" w:hAnsi="Times New Roman"/>
              </w:rPr>
              <w:t>70</w:t>
            </w:r>
            <w:r>
              <w:rPr>
                <w:rFonts w:ascii="Times New Roman" w:eastAsia="標楷體" w:hAnsi="Times New Roman"/>
              </w:rPr>
              <w:t>％，四位時</w:t>
            </w:r>
            <w:r>
              <w:rPr>
                <w:rFonts w:ascii="Times New Roman" w:eastAsia="標楷體" w:hAnsi="Times New Roman"/>
              </w:rPr>
              <w:t>60</w:t>
            </w:r>
            <w:r>
              <w:rPr>
                <w:rFonts w:ascii="Times New Roman" w:eastAsia="標楷體" w:hAnsi="Times New Roman"/>
              </w:rPr>
              <w:t>％，五位（含）以上時</w:t>
            </w:r>
            <w:r>
              <w:rPr>
                <w:rFonts w:ascii="Times New Roman" w:eastAsia="標楷體" w:hAnsi="Times New Roman"/>
              </w:rPr>
              <w:t>50</w:t>
            </w:r>
            <w:r>
              <w:rPr>
                <w:rFonts w:ascii="Times New Roman" w:eastAsia="標楷體" w:hAnsi="Times New Roman"/>
              </w:rPr>
              <w:t>％之點數。每件專利只能</w:t>
            </w:r>
            <w:proofErr w:type="gramStart"/>
            <w:r>
              <w:rPr>
                <w:rFonts w:ascii="Times New Roman" w:eastAsia="標楷體" w:hAnsi="Times New Roman"/>
              </w:rPr>
              <w:t>採</w:t>
            </w:r>
            <w:proofErr w:type="gramEnd"/>
            <w:r>
              <w:rPr>
                <w:rFonts w:ascii="Times New Roman" w:eastAsia="標楷體" w:hAnsi="Times New Roman"/>
              </w:rPr>
              <w:t>計一次點數。</w:t>
            </w:r>
          </w:p>
        </w:tc>
      </w:tr>
      <w:tr w:rsidR="002B67A6">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3.</w:t>
            </w:r>
            <w:r>
              <w:rPr>
                <w:rFonts w:ascii="Times New Roman" w:eastAsia="標楷體" w:hAnsi="Times New Roman"/>
                <w:kern w:val="0"/>
              </w:rPr>
              <w:t>產學計畫</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年執行之產學合作計畫。</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行政管理費每</w:t>
            </w:r>
            <w:r>
              <w:rPr>
                <w:rFonts w:ascii="Times New Roman" w:eastAsia="標楷體" w:hAnsi="Times New Roman"/>
                <w:kern w:val="0"/>
              </w:rPr>
              <w:t>1</w:t>
            </w:r>
            <w:r>
              <w:rPr>
                <w:rFonts w:ascii="Times New Roman" w:eastAsia="標楷體" w:hAnsi="Times New Roman"/>
                <w:kern w:val="0"/>
              </w:rPr>
              <w:t>萬元</w:t>
            </w:r>
            <w:r>
              <w:rPr>
                <w:rFonts w:ascii="Times New Roman" w:eastAsia="標楷體" w:hAnsi="Times New Roman"/>
                <w:kern w:val="0"/>
              </w:rPr>
              <w:t>1</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2</w:t>
            </w:r>
            <w:r>
              <w:rPr>
                <w:rFonts w:ascii="Times New Roman" w:eastAsia="標楷體" w:hAnsi="Times New Roman"/>
              </w:rPr>
              <w:t>之產學計畫不得再計算點數。</w:t>
            </w:r>
          </w:p>
        </w:tc>
      </w:tr>
      <w:tr w:rsidR="002B67A6">
        <w:trPr>
          <w:trHeight w:val="20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4.</w:t>
            </w:r>
            <w:r>
              <w:rPr>
                <w:rFonts w:ascii="Times New Roman" w:eastAsia="標楷體" w:hAnsi="Times New Roman"/>
                <w:kern w:val="0"/>
              </w:rPr>
              <w:t>技轉授權</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年累計技轉授權金額。</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w:t>
            </w:r>
            <w:r>
              <w:rPr>
                <w:rFonts w:ascii="Times New Roman" w:eastAsia="標楷體" w:hAnsi="Times New Roman"/>
                <w:kern w:val="0"/>
              </w:rPr>
              <w:t>1</w:t>
            </w:r>
            <w:r>
              <w:rPr>
                <w:rFonts w:ascii="Times New Roman" w:eastAsia="標楷體" w:hAnsi="Times New Roman"/>
                <w:kern w:val="0"/>
              </w:rPr>
              <w:t>萬元</w:t>
            </w:r>
            <w:r>
              <w:rPr>
                <w:rFonts w:ascii="Times New Roman" w:eastAsia="標楷體" w:hAnsi="Times New Roman"/>
                <w:kern w:val="0"/>
              </w:rPr>
              <w:t>1</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2</w:t>
            </w:r>
            <w:r>
              <w:rPr>
                <w:rFonts w:ascii="Times New Roman" w:eastAsia="標楷體" w:hAnsi="Times New Roman"/>
              </w:rPr>
              <w:t>之技轉金額不得再計算點數。</w:t>
            </w:r>
          </w:p>
        </w:tc>
      </w:tr>
      <w:tr w:rsidR="002B67A6">
        <w:trPr>
          <w:trHeight w:val="95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5.</w:t>
            </w:r>
            <w:r>
              <w:rPr>
                <w:rFonts w:ascii="Times New Roman" w:eastAsia="標楷體" w:hAnsi="Times New Roman"/>
                <w:kern w:val="0"/>
              </w:rPr>
              <w:t>競賽獎項</w:t>
            </w:r>
          </w:p>
          <w:p w:rsidR="002B67A6" w:rsidRDefault="00FC01AE">
            <w:pPr>
              <w:widowControl/>
              <w:jc w:val="center"/>
              <w:rPr>
                <w:rFonts w:ascii="Times New Roman" w:eastAsia="標楷體" w:hAnsi="Times New Roman"/>
                <w:kern w:val="0"/>
              </w:rP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ind w:left="432" w:hanging="432"/>
              <w:jc w:val="both"/>
              <w:rPr>
                <w:rFonts w:ascii="Times New Roman" w:eastAsia="標楷體" w:hAnsi="Times New Roman"/>
                <w:kern w:val="0"/>
              </w:rPr>
            </w:pPr>
            <w:r>
              <w:rPr>
                <w:rFonts w:ascii="Times New Roman" w:eastAsia="標楷體" w:hAnsi="Times New Roman"/>
                <w:kern w:val="0"/>
              </w:rPr>
              <w:t>5.1</w:t>
            </w:r>
            <w:r>
              <w:rPr>
                <w:rFonts w:ascii="Times New Roman" w:eastAsia="標楷體" w:hAnsi="Times New Roman"/>
                <w:kern w:val="0"/>
              </w:rPr>
              <w:t>教師本人或指導學生榮獲國外重要發明獎項：瑞士日內瓦國際發明展、法國巴黎國際發明展、美國匹茲堡國際發明展、德國紐倫堡國際發明展及其他同等級發明展獎項。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30</w:t>
            </w:r>
            <w:r>
              <w:rPr>
                <w:rFonts w:ascii="Times New Roman" w:eastAsia="標楷體" w:hAnsi="Times New Roman"/>
                <w:kern w:val="0"/>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第一、二、三名（或相當等級者）分別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之點數。同一成果只能</w:t>
            </w:r>
            <w:proofErr w:type="gramStart"/>
            <w:r>
              <w:rPr>
                <w:rFonts w:ascii="Times New Roman" w:eastAsia="標楷體" w:hAnsi="Times New Roman"/>
              </w:rPr>
              <w:t>採</w:t>
            </w:r>
            <w:proofErr w:type="gramEnd"/>
            <w:r>
              <w:rPr>
                <w:rFonts w:ascii="Times New Roman" w:eastAsia="標楷體" w:hAnsi="Times New Roman"/>
              </w:rPr>
              <w:t>計一項點數。</w:t>
            </w:r>
          </w:p>
        </w:tc>
      </w:tr>
      <w:tr w:rsidR="002B67A6">
        <w:trPr>
          <w:trHeight w:val="478"/>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widowControl/>
              <w:jc w:val="center"/>
              <w:rPr>
                <w:rFonts w:ascii="Times New Roman" w:eastAsia="標楷體" w:hAnsi="Times New Roman"/>
                <w:kern w:val="0"/>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ind w:left="432" w:hanging="432"/>
              <w:jc w:val="both"/>
              <w:rPr>
                <w:rFonts w:ascii="Times New Roman" w:eastAsia="標楷體" w:hAnsi="Times New Roman"/>
                <w:kern w:val="0"/>
              </w:rPr>
            </w:pPr>
            <w:r>
              <w:rPr>
                <w:rFonts w:ascii="Times New Roman" w:eastAsia="標楷體" w:hAnsi="Times New Roman"/>
                <w:kern w:val="0"/>
              </w:rPr>
              <w:t>5.2</w:t>
            </w:r>
            <w:r>
              <w:rPr>
                <w:rFonts w:ascii="Times New Roman" w:eastAsia="標楷體" w:hAnsi="Times New Roman"/>
                <w:kern w:val="0"/>
              </w:rPr>
              <w:t>教師本人或指導學生榮獲國外重要發明獎項：俄羅斯阿基米德國際發明展、烏克蘭國際發明展、馬來西亞</w:t>
            </w:r>
            <w:r>
              <w:rPr>
                <w:rFonts w:ascii="Times New Roman" w:eastAsia="標楷體" w:hAnsi="Times New Roman"/>
                <w:kern w:val="0"/>
              </w:rPr>
              <w:t>ITEX</w:t>
            </w:r>
            <w:r>
              <w:rPr>
                <w:rFonts w:ascii="Times New Roman" w:eastAsia="標楷體" w:hAnsi="Times New Roman"/>
                <w:kern w:val="0"/>
              </w:rPr>
              <w:t>國際發明展、波蘭華沙國際發明展、克羅埃西亞國際發明展、</w:t>
            </w:r>
            <w:proofErr w:type="gramStart"/>
            <w:r>
              <w:rPr>
                <w:rFonts w:ascii="Times New Roman" w:eastAsia="標楷體" w:hAnsi="Times New Roman"/>
                <w:kern w:val="0"/>
              </w:rPr>
              <w:t>韓國首爾國際</w:t>
            </w:r>
            <w:proofErr w:type="gramEnd"/>
            <w:r>
              <w:rPr>
                <w:rFonts w:ascii="Times New Roman" w:eastAsia="標楷體" w:hAnsi="Times New Roman"/>
                <w:kern w:val="0"/>
              </w:rPr>
              <w:t>發明展、</w:t>
            </w:r>
            <w:r>
              <w:rPr>
                <w:rFonts w:ascii="Times New Roman" w:eastAsia="標楷體" w:hAnsi="Times New Roman"/>
                <w:kern w:val="0"/>
              </w:rPr>
              <w:lastRenderedPageBreak/>
              <w:t>Red Dot</w:t>
            </w:r>
            <w:r>
              <w:rPr>
                <w:rFonts w:ascii="Times New Roman" w:eastAsia="標楷體" w:hAnsi="Times New Roman"/>
                <w:kern w:val="0"/>
              </w:rPr>
              <w:t>紅點設計獎及其他同等級之發明展獎項。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lastRenderedPageBreak/>
              <w:t>每項最高</w:t>
            </w:r>
            <w:r>
              <w:rPr>
                <w:rFonts w:ascii="Times New Roman" w:eastAsia="標楷體" w:hAnsi="Times New Roman"/>
                <w:kern w:val="0"/>
              </w:rPr>
              <w:t>15</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23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pPr>
            <w:r>
              <w:rPr>
                <w:rFonts w:ascii="Times New Roman" w:eastAsia="標楷體" w:hAnsi="Times New Roman"/>
              </w:rPr>
              <w:t>5.3</w:t>
            </w:r>
            <w:r>
              <w:rPr>
                <w:rFonts w:ascii="Times New Roman" w:eastAsia="標楷體" w:hAnsi="Times New Roman"/>
              </w:rPr>
              <w:t>教師本人</w:t>
            </w:r>
            <w:r>
              <w:rPr>
                <w:rFonts w:ascii="Times New Roman" w:eastAsia="標楷體" w:hAnsi="Times New Roman"/>
                <w:kern w:val="0"/>
              </w:rPr>
              <w:t>或指導學生</w:t>
            </w:r>
            <w:r>
              <w:rPr>
                <w:rFonts w:ascii="Times New Roman" w:eastAsia="標楷體" w:hAnsi="Times New Roman"/>
              </w:rPr>
              <w:t>榮獲國內重要發明獎項（包含經濟部全國發明展獎項、國家發明創作獎等）。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kern w:val="0"/>
              </w:rPr>
              <w:t>每項最高</w:t>
            </w:r>
            <w:r>
              <w:rPr>
                <w:rFonts w:ascii="Times New Roman" w:eastAsia="標楷體" w:hAnsi="Times New Roman"/>
                <w:kern w:val="0"/>
              </w:rPr>
              <w:t>10</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338"/>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rPr>
              <w:t>5.4</w:t>
            </w: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年教師</w:t>
            </w:r>
            <w:r>
              <w:rPr>
                <w:rFonts w:ascii="Times New Roman" w:eastAsia="標楷體" w:hAnsi="Times New Roman"/>
              </w:rPr>
              <w:t>本人</w:t>
            </w:r>
            <w:r>
              <w:rPr>
                <w:rFonts w:ascii="Times New Roman" w:eastAsia="標楷體" w:hAnsi="Times New Roman"/>
                <w:kern w:val="0"/>
              </w:rPr>
              <w:t>或指導學生</w:t>
            </w:r>
            <w:r>
              <w:rPr>
                <w:rFonts w:ascii="Times New Roman" w:eastAsia="標楷體" w:hAnsi="Times New Roman"/>
              </w:rPr>
              <w:t>榮獲國際性重要成果獎項（含競賽、作品、成就證明等）。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每項最高</w:t>
            </w:r>
            <w:r>
              <w:rPr>
                <w:rFonts w:ascii="Times New Roman" w:eastAsia="標楷體" w:hAnsi="Times New Roman"/>
                <w:kern w:val="0"/>
              </w:rPr>
              <w:t>20</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27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rPr>
              <w:t>5.5</w:t>
            </w:r>
            <w:r>
              <w:rPr>
                <w:rFonts w:ascii="Times New Roman" w:eastAsia="標楷體" w:hAnsi="Times New Roman"/>
                <w:kern w:val="0"/>
              </w:rPr>
              <w:t>近</w:t>
            </w:r>
            <w:r>
              <w:rPr>
                <w:rFonts w:ascii="Times New Roman" w:eastAsia="標楷體" w:hAnsi="Times New Roman"/>
              </w:rPr>
              <w:t>7</w:t>
            </w:r>
            <w:r>
              <w:rPr>
                <w:rFonts w:ascii="Times New Roman" w:eastAsia="標楷體" w:hAnsi="Times New Roman"/>
                <w:kern w:val="0"/>
              </w:rPr>
              <w:t>年教師</w:t>
            </w:r>
            <w:r>
              <w:rPr>
                <w:rFonts w:ascii="Times New Roman" w:eastAsia="標楷體" w:hAnsi="Times New Roman"/>
              </w:rPr>
              <w:t>本人</w:t>
            </w:r>
            <w:r>
              <w:rPr>
                <w:rFonts w:ascii="Times New Roman" w:eastAsia="標楷體" w:hAnsi="Times New Roman"/>
                <w:kern w:val="0"/>
              </w:rPr>
              <w:t>或指導學生</w:t>
            </w:r>
            <w:r>
              <w:rPr>
                <w:rFonts w:ascii="Times New Roman" w:eastAsia="標楷體" w:hAnsi="Times New Roman"/>
              </w:rPr>
              <w:t>榮獲全國性重要成果獎項（含競賽、作品、成就證明等）。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每項最高</w:t>
            </w:r>
            <w:r>
              <w:rPr>
                <w:rFonts w:ascii="Times New Roman" w:eastAsia="標楷體" w:hAnsi="Times New Roman"/>
                <w:kern w:val="0"/>
              </w:rPr>
              <w:t>10</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90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6.</w:t>
            </w:r>
            <w:r>
              <w:rPr>
                <w:rFonts w:ascii="Times New Roman" w:eastAsia="標楷體" w:hAnsi="Times New Roman"/>
              </w:rPr>
              <w:t>研究計畫</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年執行</w:t>
            </w:r>
            <w:r w:rsidR="004C3A92" w:rsidRPr="004C3A92">
              <w:rPr>
                <w:rFonts w:ascii="標楷體" w:eastAsia="標楷體" w:hAnsi="標楷體" w:hint="eastAsia"/>
                <w:color w:val="FF0000"/>
                <w:szCs w:val="24"/>
                <w:u w:val="single"/>
              </w:rPr>
              <w:t>國科會</w:t>
            </w:r>
            <w:r>
              <w:rPr>
                <w:rFonts w:ascii="Times New Roman" w:eastAsia="標楷體" w:hAnsi="Times New Roman"/>
              </w:rPr>
              <w:t>及非</w:t>
            </w:r>
            <w:r w:rsidR="004C3A92" w:rsidRPr="004C3A92">
              <w:rPr>
                <w:rFonts w:ascii="標楷體" w:eastAsia="標楷體" w:hAnsi="標楷體" w:hint="eastAsia"/>
                <w:color w:val="FF0000"/>
                <w:szCs w:val="24"/>
                <w:u w:val="single"/>
              </w:rPr>
              <w:t>國科會</w:t>
            </w:r>
            <w:r>
              <w:rPr>
                <w:rFonts w:ascii="Times New Roman" w:eastAsia="標楷體" w:hAnsi="Times New Roman"/>
              </w:rPr>
              <w:t>之政府機關計畫（需有行政管理費）。</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rPr>
                <w:rFonts w:ascii="Times New Roman" w:eastAsia="標楷體" w:hAnsi="Times New Roman"/>
                <w:kern w:val="0"/>
              </w:rPr>
            </w:pPr>
            <w:r>
              <w:rPr>
                <w:rFonts w:ascii="Times New Roman" w:eastAsia="標楷體" w:hAnsi="Times New Roman"/>
                <w:kern w:val="0"/>
              </w:rPr>
              <w:t>每件</w:t>
            </w:r>
            <w:r>
              <w:rPr>
                <w:rFonts w:ascii="Times New Roman" w:eastAsia="標楷體" w:hAnsi="Times New Roman"/>
                <w:kern w:val="0"/>
              </w:rPr>
              <w:t>15</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539"/>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7.</w:t>
            </w:r>
            <w:r>
              <w:rPr>
                <w:rFonts w:ascii="Times New Roman" w:eastAsia="標楷體" w:hAnsi="Times New Roman"/>
              </w:rPr>
              <w:t>學術榮譽</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30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17" w:hanging="317"/>
              <w:jc w:val="both"/>
              <w:rPr>
                <w:rFonts w:ascii="Times New Roman" w:eastAsia="標楷體" w:hAnsi="Times New Roman"/>
              </w:rPr>
            </w:pPr>
            <w:r>
              <w:rPr>
                <w:rFonts w:ascii="Times New Roman" w:eastAsia="標楷體" w:hAnsi="Times New Roman"/>
              </w:rPr>
              <w:t>7.1</w:t>
            </w:r>
            <w:r>
              <w:rPr>
                <w:rFonts w:ascii="Times New Roman" w:eastAsia="標楷體" w:hAnsi="Times New Roman"/>
              </w:rPr>
              <w:t>榮獲國際性學術榮譽獎項。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10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086"/>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pPr>
            <w:r>
              <w:rPr>
                <w:rFonts w:ascii="Times New Roman" w:eastAsia="標楷體" w:hAnsi="Times New Roman"/>
              </w:rPr>
              <w:t>7.2</w:t>
            </w:r>
            <w:r>
              <w:rPr>
                <w:rFonts w:ascii="Times New Roman" w:eastAsia="標楷體" w:hAnsi="Times New Roman"/>
              </w:rPr>
              <w:t>榮獲校外學術研究榮譽獎項，如</w:t>
            </w:r>
            <w:r w:rsidR="004C3A92" w:rsidRPr="004C3A92">
              <w:rPr>
                <w:rFonts w:ascii="標楷體" w:eastAsia="標楷體" w:hAnsi="標楷體" w:hint="eastAsia"/>
                <w:color w:val="FF0000"/>
                <w:szCs w:val="24"/>
                <w:u w:val="single"/>
              </w:rPr>
              <w:t>國科會</w:t>
            </w:r>
            <w:r>
              <w:rPr>
                <w:rFonts w:ascii="Times New Roman" w:eastAsia="標楷體" w:hAnsi="Times New Roman"/>
              </w:rPr>
              <w:t>之傑出研究獎、傑出產學合作獎、傑出科技榮譽獎、傑出技轉貢獻獎；總統科學獎；體育運動學術團體聯合年會暨學術研討會之體育運動耕耘獎等。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10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65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360" w:hanging="360"/>
              <w:jc w:val="both"/>
              <w:rPr>
                <w:rFonts w:ascii="Times New Roman" w:eastAsia="標楷體" w:hAnsi="Times New Roman"/>
              </w:rPr>
            </w:pPr>
            <w:r>
              <w:rPr>
                <w:rFonts w:ascii="Times New Roman" w:eastAsia="標楷體" w:hAnsi="Times New Roman"/>
              </w:rPr>
              <w:t>7.3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年榮獲校內學術研究榮譽獎項，如延攬及留住特殊優秀人才獎勵、傑出研究獎、研究成果獎勵等。</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每項</w:t>
            </w:r>
            <w:r>
              <w:rPr>
                <w:rFonts w:ascii="Times New Roman" w:eastAsia="標楷體" w:hAnsi="Times New Roman"/>
                <w:kern w:val="0"/>
              </w:rPr>
              <w:t>5</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41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7.4</w:t>
            </w:r>
            <w:r>
              <w:rPr>
                <w:rFonts w:ascii="Times New Roman" w:eastAsia="標楷體" w:hAnsi="Times New Roman"/>
              </w:rPr>
              <w:t>其他學術研究相關榮譽</w:t>
            </w:r>
            <w:proofErr w:type="gramStart"/>
            <w:r>
              <w:rPr>
                <w:rFonts w:ascii="Times New Roman" w:eastAsia="標楷體" w:hAnsi="Times New Roman"/>
              </w:rPr>
              <w:t>獎項經教評</w:t>
            </w:r>
            <w:proofErr w:type="gramEnd"/>
            <w:r>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343"/>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8.</w:t>
            </w:r>
            <w:r>
              <w:rPr>
                <w:rFonts w:ascii="Times New Roman" w:eastAsia="標楷體" w:hAnsi="Times New Roman"/>
              </w:rPr>
              <w:t>創作作品</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50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360" w:hanging="360"/>
              <w:jc w:val="both"/>
              <w:rPr>
                <w:rFonts w:ascii="Times New Roman" w:eastAsia="標楷體" w:hAnsi="Times New Roman"/>
              </w:rPr>
            </w:pPr>
            <w:r>
              <w:rPr>
                <w:rFonts w:ascii="Times New Roman" w:eastAsia="標楷體" w:hAnsi="Times New Roman"/>
              </w:rPr>
              <w:t>8.1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年內於國內、外公開展覽場所舉辦個人展演及發表，作品展演類別及作品數量，依據教育部最新公布，專科以上學校教師資格審定辦法內「藝術類科教師以作品及成就證明送審教師資格審查基準」規定辦理。</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25</w:t>
            </w:r>
            <w:r>
              <w:rPr>
                <w:rFonts w:ascii="Times New Roman" w:eastAsia="標楷體" w:hAnsi="Times New Roman"/>
                <w:kern w:val="0"/>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1</w:t>
            </w:r>
            <w:r>
              <w:rPr>
                <w:rFonts w:ascii="Times New Roman" w:eastAsia="標楷體" w:hAnsi="Times New Roman"/>
              </w:rPr>
              <w:t>及條件</w:t>
            </w:r>
            <w:r>
              <w:rPr>
                <w:rFonts w:ascii="Times New Roman" w:eastAsia="標楷體" w:hAnsi="Times New Roman"/>
              </w:rPr>
              <w:t>2</w:t>
            </w:r>
            <w:r>
              <w:rPr>
                <w:rFonts w:ascii="Times New Roman" w:eastAsia="標楷體" w:hAnsi="Times New Roman"/>
              </w:rPr>
              <w:t>之創作作品不得再計算點數。</w:t>
            </w:r>
          </w:p>
        </w:tc>
      </w:tr>
      <w:tr w:rsidR="002B67A6">
        <w:trPr>
          <w:trHeight w:val="43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360" w:hanging="360"/>
              <w:jc w:val="both"/>
              <w:rPr>
                <w:rFonts w:ascii="Times New Roman" w:eastAsia="標楷體" w:hAnsi="Times New Roman"/>
              </w:rPr>
            </w:pPr>
            <w:r>
              <w:rPr>
                <w:rFonts w:ascii="Times New Roman" w:eastAsia="標楷體" w:hAnsi="Times New Roman"/>
              </w:rPr>
              <w:t>8.2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年內於國內、外公開展覽場所參加聯展或聯合公開發表作品者。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5</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19"/>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360" w:hanging="360"/>
              <w:jc w:val="both"/>
              <w:rPr>
                <w:rFonts w:ascii="Times New Roman" w:eastAsia="標楷體" w:hAnsi="Times New Roman"/>
              </w:rPr>
            </w:pPr>
            <w:r>
              <w:rPr>
                <w:rFonts w:ascii="Times New Roman" w:eastAsia="標楷體" w:hAnsi="Times New Roman"/>
              </w:rPr>
              <w:t>8.3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年內代表公家單位於國內、外公開展覽場所策劃國際展演者。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15</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621"/>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360" w:hanging="360"/>
              <w:jc w:val="both"/>
              <w:rPr>
                <w:rFonts w:ascii="Times New Roman" w:eastAsia="標楷體" w:hAnsi="Times New Roman"/>
              </w:rPr>
            </w:pPr>
            <w:r>
              <w:rPr>
                <w:rFonts w:ascii="Times New Roman" w:eastAsia="標楷體" w:hAnsi="Times New Roman"/>
              </w:rPr>
              <w:t>8.4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年內於國內公開展覽場所策劃展演者。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10</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6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snapToGrid w:val="0"/>
              <w:spacing w:before="50" w:line="240" w:lineRule="atLeast"/>
              <w:ind w:left="432" w:hanging="432"/>
              <w:jc w:val="both"/>
              <w:rPr>
                <w:rFonts w:ascii="Times New Roman" w:eastAsia="標楷體" w:hAnsi="Times New Roman"/>
              </w:rPr>
            </w:pPr>
            <w:r>
              <w:rPr>
                <w:rFonts w:ascii="Times New Roman" w:eastAsia="標楷體" w:hAnsi="Times New Roman"/>
              </w:rPr>
              <w:t>8.5</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年經公開徵選與評選制度獲選參展、</w:t>
            </w:r>
            <w:r>
              <w:rPr>
                <w:rFonts w:ascii="Times New Roman" w:eastAsia="標楷體" w:hAnsi="Times New Roman"/>
              </w:rPr>
              <w:lastRenderedPageBreak/>
              <w:t>發表、出版者。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lastRenderedPageBreak/>
              <w:t>每件</w:t>
            </w:r>
            <w:r>
              <w:rPr>
                <w:rFonts w:ascii="Times New Roman" w:eastAsia="標楷體" w:hAnsi="Times New Roman"/>
                <w:kern w:val="0"/>
              </w:rPr>
              <w:t>5</w:t>
            </w:r>
            <w:r>
              <w:rPr>
                <w:rFonts w:ascii="Times New Roman" w:eastAsia="標楷體" w:hAnsi="Times New Roman"/>
                <w:kern w:val="0"/>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rPr>
            </w:pPr>
          </w:p>
        </w:tc>
      </w:tr>
      <w:tr w:rsidR="002B67A6">
        <w:trPr>
          <w:trHeight w:val="1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32" w:hanging="432"/>
              <w:jc w:val="both"/>
              <w:rPr>
                <w:rFonts w:ascii="Times New Roman" w:eastAsia="標楷體" w:hAnsi="Times New Roman"/>
              </w:rPr>
            </w:pPr>
            <w:r>
              <w:rPr>
                <w:rFonts w:ascii="Times New Roman" w:eastAsia="標楷體" w:hAnsi="Times New Roman"/>
              </w:rPr>
              <w:t>8.6</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年其他創作</w:t>
            </w:r>
            <w:proofErr w:type="gramStart"/>
            <w:r>
              <w:rPr>
                <w:rFonts w:ascii="Times New Roman" w:eastAsia="標楷體" w:hAnsi="Times New Roman"/>
              </w:rPr>
              <w:t>發表經教評</w:t>
            </w:r>
            <w:proofErr w:type="gramEnd"/>
            <w:r>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點數由教評會認定</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both"/>
              <w:rPr>
                <w:rFonts w:ascii="Times New Roman" w:eastAsia="標楷體" w:hAnsi="Times New Roman"/>
                <w:strike/>
              </w:rPr>
            </w:pPr>
          </w:p>
        </w:tc>
      </w:tr>
      <w:tr w:rsidR="002B67A6">
        <w:trPr>
          <w:trHeight w:val="911"/>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9.</w:t>
            </w:r>
            <w:r>
              <w:rPr>
                <w:rFonts w:ascii="Times New Roman" w:eastAsia="標楷體" w:hAnsi="Times New Roman"/>
              </w:rPr>
              <w:t>運動成就</w:t>
            </w:r>
          </w:p>
          <w:p w:rsidR="002B67A6" w:rsidRDefault="00FC01AE">
            <w:pPr>
              <w:jc w:val="center"/>
            </w:pPr>
            <w:r>
              <w:rPr>
                <w:rFonts w:ascii="Times New Roman" w:eastAsia="標楷體" w:hAnsi="Times New Roman"/>
                <w:kern w:val="0"/>
              </w:rPr>
              <w:t>（本項目最高</w:t>
            </w:r>
            <w:proofErr w:type="gramStart"/>
            <w:r>
              <w:rPr>
                <w:rFonts w:ascii="Times New Roman" w:eastAsia="標楷體" w:hAnsi="Times New Roman"/>
                <w:kern w:val="0"/>
              </w:rPr>
              <w:t>採</w:t>
            </w:r>
            <w:proofErr w:type="gramEnd"/>
            <w:r>
              <w:rPr>
                <w:rFonts w:ascii="Times New Roman" w:eastAsia="標楷體" w:hAnsi="Times New Roman"/>
                <w:kern w:val="0"/>
              </w:rPr>
              <w:t>計點數</w:t>
            </w:r>
            <w:r>
              <w:rPr>
                <w:rFonts w:ascii="Times New Roman" w:eastAsia="標楷體" w:hAnsi="Times New Roman"/>
                <w:kern w:val="0"/>
              </w:rPr>
              <w:t>50</w:t>
            </w:r>
            <w:r>
              <w:rPr>
                <w:rFonts w:ascii="Times New Roman" w:eastAsia="標楷體" w:hAnsi="Times New Roman"/>
                <w:kern w:val="0"/>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1" w:hanging="521"/>
              <w:jc w:val="both"/>
              <w:rPr>
                <w:rFonts w:ascii="Times New Roman" w:eastAsia="標楷體" w:hAnsi="Times New Roman"/>
              </w:rPr>
            </w:pPr>
            <w:r>
              <w:rPr>
                <w:rFonts w:ascii="Times New Roman" w:eastAsia="標楷體" w:hAnsi="Times New Roman"/>
              </w:rPr>
              <w:t>9.1(1)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年參加奧運獲前八名者。</w:t>
            </w:r>
          </w:p>
          <w:p w:rsidR="002B67A6" w:rsidRDefault="00FC01AE">
            <w:pPr>
              <w:ind w:left="600" w:hanging="283"/>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年參加亞運獲前三名者。</w:t>
            </w:r>
          </w:p>
          <w:p w:rsidR="002B67A6" w:rsidRDefault="00FC01AE">
            <w:pPr>
              <w:ind w:left="600" w:hanging="283"/>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年參加奧運正式競賽項目之世界正式錦標賽獲前三名者。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40</w:t>
            </w:r>
            <w:r>
              <w:rPr>
                <w:rFonts w:ascii="Times New Roman" w:eastAsia="標楷體" w:hAnsi="Times New Roman"/>
              </w:rPr>
              <w:t>點</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numPr>
                <w:ilvl w:val="0"/>
                <w:numId w:val="3"/>
              </w:numPr>
              <w:ind w:left="195" w:right="-103" w:hanging="195"/>
              <w:jc w:val="both"/>
              <w:rPr>
                <w:rFonts w:ascii="Times New Roman" w:eastAsia="標楷體" w:hAnsi="Times New Roman"/>
              </w:rPr>
            </w:pPr>
            <w:r>
              <w:rPr>
                <w:rFonts w:ascii="Times New Roman" w:eastAsia="標楷體" w:hAnsi="Times New Roman"/>
              </w:rPr>
              <w:t>已採用於條件</w:t>
            </w:r>
            <w:r>
              <w:rPr>
                <w:rFonts w:ascii="Times New Roman" w:eastAsia="標楷體" w:hAnsi="Times New Roman"/>
              </w:rPr>
              <w:t>2</w:t>
            </w:r>
            <w:r>
              <w:rPr>
                <w:rFonts w:ascii="Times New Roman" w:eastAsia="標楷體" w:hAnsi="Times New Roman"/>
              </w:rPr>
              <w:t>之運動成就不得再計算點數。除奧運前八名外，其餘第一、二、三名（或相當等級者）分別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p w:rsidR="002B67A6" w:rsidRDefault="00FC01AE">
            <w:pPr>
              <w:numPr>
                <w:ilvl w:val="0"/>
                <w:numId w:val="3"/>
              </w:numPr>
              <w:ind w:left="177" w:hanging="177"/>
              <w:jc w:val="both"/>
              <w:rPr>
                <w:rFonts w:ascii="Times New Roman" w:eastAsia="標楷體" w:hAnsi="Times New Roman"/>
              </w:rPr>
            </w:pPr>
            <w:r>
              <w:rPr>
                <w:rFonts w:ascii="Times New Roman" w:eastAsia="標楷體" w:hAnsi="Times New Roman"/>
              </w:rPr>
              <w:t>本項目限本人或指導學生參賽。指導選手係指由本校體育室或全國性體育組織</w:t>
            </w:r>
            <w:proofErr w:type="gramStart"/>
            <w:r>
              <w:rPr>
                <w:rFonts w:ascii="Times New Roman" w:eastAsia="標楷體" w:hAnsi="Times New Roman"/>
              </w:rPr>
              <w:t>正式發聘為</w:t>
            </w:r>
            <w:proofErr w:type="gramEnd"/>
            <w:r>
              <w:rPr>
                <w:rFonts w:ascii="Times New Roman" w:eastAsia="標楷體" w:hAnsi="Times New Roman"/>
              </w:rPr>
              <w:t>該選手所屬代表隊教練。</w:t>
            </w:r>
          </w:p>
          <w:p w:rsidR="002B67A6" w:rsidRDefault="00FC01AE">
            <w:pPr>
              <w:numPr>
                <w:ilvl w:val="0"/>
                <w:numId w:val="3"/>
              </w:numPr>
              <w:ind w:left="177" w:hanging="177"/>
              <w:jc w:val="both"/>
            </w:pPr>
            <w:r>
              <w:rPr>
                <w:rFonts w:ascii="Times New Roman" w:eastAsia="標楷體" w:hAnsi="Times New Roman"/>
              </w:rPr>
              <w:t>近</w:t>
            </w:r>
            <w:r>
              <w:rPr>
                <w:rFonts w:ascii="Times New Roman" w:eastAsia="標楷體" w:hAnsi="Times New Roman"/>
              </w:rPr>
              <w:t>5</w:t>
            </w:r>
            <w:r>
              <w:rPr>
                <w:rFonts w:ascii="Times New Roman" w:eastAsia="標楷體" w:hAnsi="Times New Roman"/>
              </w:rPr>
              <w:t>年</w:t>
            </w:r>
            <w:r>
              <w:rPr>
                <w:rFonts w:ascii="Times New Roman" w:eastAsia="標楷體" w:hAnsi="Times New Roman"/>
                <w:kern w:val="0"/>
              </w:rPr>
              <w:t>參加國內、外其他重要比賽獲前三名者，得由系所教評會視情況</w:t>
            </w:r>
            <w:proofErr w:type="gramStart"/>
            <w:r>
              <w:rPr>
                <w:rFonts w:ascii="Times New Roman" w:eastAsia="標楷體" w:hAnsi="Times New Roman"/>
                <w:kern w:val="0"/>
              </w:rPr>
              <w:t>酌予給分</w:t>
            </w:r>
            <w:proofErr w:type="gramEnd"/>
            <w:r>
              <w:rPr>
                <w:rFonts w:ascii="Times New Roman" w:eastAsia="標楷體" w:hAnsi="Times New Roman"/>
                <w:kern w:val="0"/>
              </w:rPr>
              <w:t>。</w:t>
            </w:r>
          </w:p>
        </w:tc>
      </w:tr>
      <w:tr w:rsidR="002B67A6">
        <w:trPr>
          <w:trHeight w:val="5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9.2(1)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年參加世界運動會獲前三名者。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年參加世界大學運動會獲前三名者。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年參加非奧運或非亞運正式競賽項目之世界正式錦標賽獲前三名者。</w:t>
            </w:r>
          </w:p>
          <w:p w:rsidR="002B67A6" w:rsidRDefault="00FC01AE">
            <w:pPr>
              <w:ind w:left="600" w:hanging="28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年參加亞運正式競賽項目之亞洲正式錦標賽獲前三名者。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30</w:t>
            </w:r>
            <w:r>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563"/>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665" w:hanging="708"/>
              <w:jc w:val="both"/>
              <w:rPr>
                <w:rFonts w:ascii="Times New Roman" w:eastAsia="標楷體" w:hAnsi="Times New Roman"/>
              </w:rPr>
            </w:pPr>
            <w:r>
              <w:rPr>
                <w:rFonts w:ascii="Times New Roman" w:eastAsia="標楷體" w:hAnsi="Times New Roman"/>
              </w:rPr>
              <w:t>9.3(1)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年參加國際學校運動會獲前三名者。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年參加非亞運正式競賽項目之亞洲正式錦標賽獲前三名者。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年參加世界大學正式錦標賽獲前三名者。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年參加世界青年正式錦標賽獲前三名者。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20</w:t>
            </w:r>
            <w:r>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377"/>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9.4(1)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年參加全國運動會獲前三名者。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年參加全國大專校院運動會獲前三名者。</w:t>
            </w:r>
          </w:p>
          <w:p w:rsidR="002B67A6" w:rsidRDefault="00FC01AE">
            <w:pPr>
              <w:ind w:left="598" w:hanging="281"/>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年參加教育部核定辦理之大專校院運動聯賽最優級組獲前三名者。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每項</w:t>
            </w:r>
            <w:r>
              <w:rPr>
                <w:rFonts w:ascii="Times New Roman" w:eastAsia="標楷體" w:hAnsi="Times New Roman"/>
              </w:rPr>
              <w:t>10</w:t>
            </w:r>
            <w:r>
              <w:rPr>
                <w:rFonts w:ascii="Times New Roman" w:eastAsia="標楷體" w:hAnsi="Times New Roman"/>
              </w:rPr>
              <w:t>點</w:t>
            </w:r>
          </w:p>
        </w:tc>
        <w:tc>
          <w:tcPr>
            <w:tcW w:w="2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606"/>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10.</w:t>
            </w:r>
            <w:r>
              <w:rPr>
                <w:rFonts w:ascii="Times New Roman" w:eastAsia="標楷體" w:hAnsi="Times New Roman"/>
              </w:rPr>
              <w:t>企業輔導（本項目最高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20</w:t>
            </w:r>
            <w:r>
              <w:rPr>
                <w:rFonts w:ascii="Times New Roman" w:eastAsia="標楷體" w:hAnsi="Times New Roman"/>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8" w:hanging="528"/>
              <w:jc w:val="both"/>
              <w:rPr>
                <w:rFonts w:ascii="Times New Roman" w:eastAsia="標楷體" w:hAnsi="Times New Roman"/>
              </w:rPr>
            </w:pPr>
            <w:r>
              <w:rPr>
                <w:rFonts w:ascii="Times New Roman" w:eastAsia="標楷體" w:hAnsi="Times New Roman"/>
              </w:rPr>
              <w:t>10.1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年擔任實質進駐本校之企業輔導顧問。</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每一年</w:t>
            </w:r>
            <w:r>
              <w:rPr>
                <w:rFonts w:ascii="Times New Roman" w:eastAsia="標楷體" w:hAnsi="Times New Roman"/>
              </w:rPr>
              <w:t>5</w:t>
            </w:r>
            <w:r>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5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8" w:hanging="528"/>
              <w:jc w:val="both"/>
              <w:rPr>
                <w:rFonts w:ascii="Times New Roman" w:eastAsia="標楷體" w:hAnsi="Times New Roman"/>
              </w:rPr>
            </w:pPr>
            <w:r>
              <w:rPr>
                <w:rFonts w:ascii="Times New Roman" w:eastAsia="標楷體" w:hAnsi="Times New Roman"/>
              </w:rPr>
              <w:t>10.2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年擔任虛擬進駐本校之企業輔導顧問。</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r>
              <w:rPr>
                <w:rFonts w:ascii="Times New Roman" w:eastAsia="標楷體" w:hAnsi="Times New Roman"/>
              </w:rPr>
              <w:t>每一年</w:t>
            </w:r>
            <w:r>
              <w:rPr>
                <w:rFonts w:ascii="Times New Roman" w:eastAsia="標楷體" w:hAnsi="Times New Roman"/>
              </w:rPr>
              <w:t>2</w:t>
            </w:r>
            <w:r>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497"/>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center"/>
              <w:rPr>
                <w:rFonts w:ascii="Times New Roman" w:eastAsia="標楷體" w:hAnsi="Times New Roman"/>
              </w:rPr>
            </w:pPr>
            <w:r>
              <w:rPr>
                <w:rFonts w:ascii="Times New Roman" w:eastAsia="標楷體" w:hAnsi="Times New Roman"/>
              </w:rPr>
              <w:t>11.</w:t>
            </w:r>
            <w:r>
              <w:rPr>
                <w:rFonts w:ascii="Times New Roman" w:eastAsia="標楷體" w:hAnsi="Times New Roman"/>
              </w:rPr>
              <w:t>其他技術應用績效</w:t>
            </w:r>
          </w:p>
          <w:p w:rsidR="002B67A6" w:rsidRDefault="00FC01AE">
            <w:pPr>
              <w:jc w:val="center"/>
              <w:rPr>
                <w:rFonts w:ascii="Times New Roman" w:eastAsia="標楷體" w:hAnsi="Times New Roman"/>
              </w:rPr>
            </w:pPr>
            <w:r>
              <w:rPr>
                <w:rFonts w:ascii="Times New Roman" w:eastAsia="標楷體" w:hAnsi="Times New Roman"/>
              </w:rPr>
              <w:t>（本項目最高</w:t>
            </w:r>
            <w:proofErr w:type="gramStart"/>
            <w:r>
              <w:rPr>
                <w:rFonts w:ascii="Times New Roman" w:eastAsia="標楷體" w:hAnsi="Times New Roman"/>
              </w:rPr>
              <w:t>採</w:t>
            </w:r>
            <w:proofErr w:type="gramEnd"/>
            <w:r>
              <w:rPr>
                <w:rFonts w:ascii="Times New Roman" w:eastAsia="標楷體" w:hAnsi="Times New Roman"/>
              </w:rPr>
              <w:t>計點數</w:t>
            </w:r>
            <w:r>
              <w:rPr>
                <w:rFonts w:ascii="Times New Roman" w:eastAsia="標楷體" w:hAnsi="Times New Roman"/>
              </w:rPr>
              <w:t>30</w:t>
            </w:r>
            <w:r>
              <w:rPr>
                <w:rFonts w:ascii="Times New Roman" w:eastAsia="標楷體" w:hAnsi="Times New Roman"/>
              </w:rPr>
              <w:t>點）</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8" w:hanging="528"/>
              <w:jc w:val="both"/>
              <w:rPr>
                <w:rFonts w:ascii="Times New Roman" w:eastAsia="標楷體" w:hAnsi="Times New Roman"/>
              </w:rPr>
            </w:pPr>
            <w:r>
              <w:rPr>
                <w:rFonts w:ascii="Times New Roman" w:eastAsia="標楷體" w:hAnsi="Times New Roman"/>
              </w:rPr>
              <w:t>11.1</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年擔任國際知名期刊之主編、副主編、編輯。</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每種期刊各</w:t>
            </w:r>
            <w:r>
              <w:rPr>
                <w:rFonts w:ascii="Times New Roman" w:eastAsia="標楷體" w:hAnsi="Times New Roman"/>
                <w:kern w:val="0"/>
              </w:rPr>
              <w:t>20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jc w:val="both"/>
              <w:rPr>
                <w:rFonts w:ascii="Times New Roman" w:eastAsia="標楷體" w:hAnsi="Times New Roman"/>
              </w:rPr>
            </w:pPr>
            <w:r>
              <w:rPr>
                <w:rFonts w:ascii="Times New Roman" w:eastAsia="標楷體" w:hAnsi="Times New Roman"/>
              </w:rPr>
              <w:t>主編、副主編、編輯分別</w:t>
            </w:r>
            <w:proofErr w:type="gramStart"/>
            <w:r>
              <w:rPr>
                <w:rFonts w:ascii="Times New Roman" w:eastAsia="標楷體" w:hAnsi="Times New Roman"/>
              </w:rPr>
              <w:t>採</w:t>
            </w:r>
            <w:proofErr w:type="gramEnd"/>
            <w:r>
              <w:rPr>
                <w:rFonts w:ascii="Times New Roman" w:eastAsia="標楷體" w:hAnsi="Times New Roman"/>
              </w:rPr>
              <w:t>計</w:t>
            </w:r>
            <w:r>
              <w:rPr>
                <w:rFonts w:ascii="Times New Roman" w:eastAsia="標楷體" w:hAnsi="Times New Roman"/>
              </w:rPr>
              <w:t>100%</w:t>
            </w:r>
            <w:r>
              <w:rPr>
                <w:rFonts w:ascii="Times New Roman" w:eastAsia="標楷體" w:hAnsi="Times New Roman"/>
              </w:rPr>
              <w:t>、</w:t>
            </w:r>
            <w:r>
              <w:rPr>
                <w:rFonts w:ascii="Times New Roman" w:eastAsia="標楷體" w:hAnsi="Times New Roman"/>
              </w:rPr>
              <w:t>80%</w:t>
            </w:r>
            <w:r>
              <w:rPr>
                <w:rFonts w:ascii="Times New Roman" w:eastAsia="標楷體" w:hAnsi="Times New Roman"/>
              </w:rPr>
              <w:t>、</w:t>
            </w:r>
            <w:r>
              <w:rPr>
                <w:rFonts w:ascii="Times New Roman" w:eastAsia="標楷體" w:hAnsi="Times New Roman"/>
              </w:rPr>
              <w:t>60%</w:t>
            </w:r>
            <w:r>
              <w:rPr>
                <w:rFonts w:ascii="Times New Roman" w:eastAsia="標楷體" w:hAnsi="Times New Roman"/>
              </w:rPr>
              <w:t>之點數。</w:t>
            </w:r>
          </w:p>
        </w:tc>
      </w:tr>
      <w:tr w:rsidR="002B67A6">
        <w:trPr>
          <w:trHeight w:val="262"/>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8" w:hanging="528"/>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年擔任國際單項運動協會之各項委員。</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每年每項</w:t>
            </w:r>
            <w:r>
              <w:rPr>
                <w:rFonts w:ascii="Times New Roman" w:eastAsia="標楷體" w:hAnsi="Times New Roman"/>
                <w:kern w:val="0"/>
              </w:rPr>
              <w:t>20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796"/>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458" w:hanging="458"/>
              <w:jc w:val="both"/>
              <w:rPr>
                <w:rFonts w:ascii="Times New Roman" w:eastAsia="標楷體" w:hAnsi="Times New Roman"/>
              </w:rPr>
            </w:pPr>
            <w:r>
              <w:rPr>
                <w:rFonts w:ascii="Times New Roman" w:eastAsia="標楷體" w:hAnsi="Times New Roman"/>
              </w:rPr>
              <w:t>11.3</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年擔任學術會議主題演講者（</w:t>
            </w:r>
            <w:r>
              <w:rPr>
                <w:rFonts w:ascii="Times New Roman" w:eastAsia="標楷體" w:hAnsi="Times New Roman"/>
              </w:rPr>
              <w:t>Keynote Speaker</w:t>
            </w:r>
            <w:r>
              <w:rPr>
                <w:rFonts w:ascii="Times New Roman" w:eastAsia="標楷體" w:hAnsi="Times New Roman"/>
              </w:rPr>
              <w:t>）。</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每場次</w:t>
            </w:r>
            <w:r>
              <w:rPr>
                <w:rFonts w:ascii="Times New Roman" w:eastAsia="標楷體" w:hAnsi="Times New Roman"/>
                <w:kern w:val="0"/>
              </w:rPr>
              <w:t>10</w:t>
            </w:r>
            <w:r>
              <w:rPr>
                <w:rFonts w:ascii="Times New Roman" w:eastAsia="標楷體" w:hAnsi="Times New Roman"/>
                <w:kern w:val="0"/>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1105"/>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28" w:hanging="528"/>
              <w:jc w:val="both"/>
              <w:rPr>
                <w:rFonts w:ascii="Times New Roman" w:eastAsia="標楷體" w:hAnsi="Times New Roman"/>
              </w:rPr>
            </w:pPr>
            <w:r>
              <w:rPr>
                <w:rFonts w:ascii="Times New Roman" w:eastAsia="標楷體" w:hAnsi="Times New Roman"/>
              </w:rPr>
              <w:t>11.4</w:t>
            </w: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年有關專業技術或管理之個案研究，經整理</w:t>
            </w:r>
            <w:proofErr w:type="gramStart"/>
            <w:r>
              <w:rPr>
                <w:rFonts w:ascii="Times New Roman" w:eastAsia="標楷體" w:hAnsi="Times New Roman"/>
              </w:rPr>
              <w:t>分析具整體性</w:t>
            </w:r>
            <w:proofErr w:type="gramEnd"/>
            <w:r>
              <w:rPr>
                <w:rFonts w:ascii="Times New Roman" w:eastAsia="標楷體" w:hAnsi="Times New Roman"/>
              </w:rPr>
              <w:t>及獨特見解、貢獻之報告，</w:t>
            </w:r>
            <w:proofErr w:type="gramStart"/>
            <w:r>
              <w:rPr>
                <w:rFonts w:ascii="Times New Roman" w:eastAsia="標楷體" w:hAnsi="Times New Roman"/>
              </w:rPr>
              <w:t>並經教</w:t>
            </w:r>
            <w:proofErr w:type="gramEnd"/>
            <w:r>
              <w:rPr>
                <w:rFonts w:ascii="Times New Roman" w:eastAsia="標楷體" w:hAnsi="Times New Roman"/>
              </w:rPr>
              <w:t>評會委員認可者。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48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2B67A6">
            <w:pPr>
              <w:jc w:val="center"/>
              <w:rPr>
                <w:rFonts w:ascii="Times New Roman" w:eastAsia="標楷體" w:hAnsi="Times New Roman"/>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ind w:left="545" w:hanging="545"/>
              <w:jc w:val="both"/>
              <w:rPr>
                <w:rFonts w:ascii="Times New Roman" w:eastAsia="標楷體" w:hAnsi="Times New Roman"/>
              </w:rPr>
            </w:pPr>
            <w:r>
              <w:rPr>
                <w:rFonts w:ascii="Times New Roman" w:eastAsia="標楷體" w:hAnsi="Times New Roman"/>
              </w:rPr>
              <w:t>11.5</w:t>
            </w:r>
            <w:r>
              <w:rPr>
                <w:rFonts w:ascii="Times New Roman" w:eastAsia="標楷體" w:hAnsi="Times New Roman"/>
              </w:rPr>
              <w:t>其他技術應用研發</w:t>
            </w:r>
            <w:proofErr w:type="gramStart"/>
            <w:r>
              <w:rPr>
                <w:rFonts w:ascii="Times New Roman" w:eastAsia="標楷體" w:hAnsi="Times New Roman"/>
              </w:rPr>
              <w:t>成果經教評</w:t>
            </w:r>
            <w:proofErr w:type="gramEnd"/>
            <w:r>
              <w:rPr>
                <w:rFonts w:ascii="Times New Roman" w:eastAsia="標楷體" w:hAnsi="Times New Roman"/>
              </w:rPr>
              <w:t>會委員認可者。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kern w:val="0"/>
              </w:rPr>
            </w:pPr>
            <w:r>
              <w:rPr>
                <w:rFonts w:ascii="Times New Roman" w:eastAsia="標楷體" w:hAnsi="Times New Roman"/>
                <w:kern w:val="0"/>
              </w:rPr>
              <w:t>點數由教評會認定</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2B67A6">
            <w:pPr>
              <w:jc w:val="both"/>
              <w:rPr>
                <w:rFonts w:ascii="Times New Roman" w:eastAsia="標楷體" w:hAnsi="Times New Roman"/>
              </w:rPr>
            </w:pPr>
          </w:p>
        </w:tc>
      </w:tr>
      <w:tr w:rsidR="002B67A6">
        <w:trPr>
          <w:trHeight w:val="48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center"/>
              <w:rPr>
                <w:rFonts w:ascii="Times New Roman" w:eastAsia="標楷體" w:hAnsi="Times New Roman"/>
                <w:kern w:val="0"/>
              </w:rPr>
            </w:pPr>
            <w:r>
              <w:rPr>
                <w:rFonts w:ascii="Times New Roman" w:eastAsia="標楷體" w:hAnsi="Times New Roman"/>
                <w:kern w:val="0"/>
              </w:rPr>
              <w:t>12.</w:t>
            </w:r>
            <w:r>
              <w:rPr>
                <w:rFonts w:ascii="Times New Roman" w:eastAsia="標楷體" w:hAnsi="Times New Roman"/>
                <w:kern w:val="0"/>
              </w:rPr>
              <w:t>整合型計畫</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widowControl/>
              <w:jc w:val="both"/>
            </w:pPr>
            <w:r>
              <w:rPr>
                <w:rFonts w:ascii="Times New Roman" w:eastAsia="標楷體" w:hAnsi="Times New Roman"/>
              </w:rPr>
              <w:t>近</w:t>
            </w:r>
            <w:r>
              <w:rPr>
                <w:rFonts w:ascii="Times New Roman" w:eastAsia="標楷體" w:hAnsi="Times New Roman"/>
              </w:rPr>
              <w:t>7</w:t>
            </w:r>
            <w:r>
              <w:rPr>
                <w:rFonts w:ascii="Times New Roman" w:eastAsia="標楷體" w:hAnsi="Times New Roman"/>
              </w:rPr>
              <w:t>年擔任整合型計畫總主持人（需有行政管理費）。</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pPr>
            <w:r>
              <w:rPr>
                <w:rFonts w:ascii="Times New Roman" w:eastAsia="標楷體" w:hAnsi="Times New Roman"/>
              </w:rPr>
              <w:t>每件</w:t>
            </w:r>
            <w:r>
              <w:rPr>
                <w:rFonts w:ascii="Times New Roman" w:eastAsia="標楷體" w:hAnsi="Times New Roman"/>
              </w:rPr>
              <w:t>20</w:t>
            </w:r>
            <w:r>
              <w:rPr>
                <w:rFonts w:ascii="Times New Roman" w:eastAsia="標楷體" w:hAnsi="Times New Roman"/>
              </w:rPr>
              <w:t>點</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A6" w:rsidRDefault="00FC01AE">
            <w:pPr>
              <w:jc w:val="both"/>
              <w:rPr>
                <w:rFonts w:ascii="Times New Roman" w:eastAsia="標楷體" w:hAnsi="Times New Roman"/>
              </w:rPr>
            </w:pPr>
            <w:r>
              <w:rPr>
                <w:rFonts w:ascii="Times New Roman" w:eastAsia="標楷體" w:hAnsi="Times New Roman"/>
              </w:rPr>
              <w:t>不可與研究、產學計畫重複</w:t>
            </w:r>
            <w:proofErr w:type="gramStart"/>
            <w:r>
              <w:rPr>
                <w:rFonts w:ascii="Times New Roman" w:eastAsia="標楷體" w:hAnsi="Times New Roman"/>
              </w:rPr>
              <w:t>採</w:t>
            </w:r>
            <w:proofErr w:type="gramEnd"/>
            <w:r>
              <w:rPr>
                <w:rFonts w:ascii="Times New Roman" w:eastAsia="標楷體" w:hAnsi="Times New Roman"/>
              </w:rPr>
              <w:t>計</w:t>
            </w:r>
          </w:p>
        </w:tc>
      </w:tr>
      <w:tr w:rsidR="002B67A6">
        <w:trPr>
          <w:trHeight w:val="740"/>
          <w:jc w:val="center"/>
        </w:trPr>
        <w:tc>
          <w:tcPr>
            <w:tcW w:w="106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1</w:t>
            </w:r>
            <w:r>
              <w:rPr>
                <w:rFonts w:ascii="Times New Roman" w:eastAsia="標楷體" w:hAnsi="Times New Roman"/>
              </w:rPr>
              <w:t>：已計入前一級升等成果者，不得列入次一級升等成果計算。</w:t>
            </w:r>
          </w:p>
          <w:p w:rsidR="002B67A6" w:rsidRDefault="00FC01AE">
            <w:pPr>
              <w:jc w:val="both"/>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2</w:t>
            </w:r>
            <w:r>
              <w:rPr>
                <w:rFonts w:ascii="Times New Roman" w:eastAsia="標楷體" w:hAnsi="Times New Roman"/>
              </w:rPr>
              <w:t>：各項計畫必須為擔任主持人或實際計畫執行人，但每項計畫</w:t>
            </w:r>
            <w:proofErr w:type="gramStart"/>
            <w:r>
              <w:rPr>
                <w:rFonts w:ascii="Times New Roman" w:eastAsia="標楷體" w:hAnsi="Times New Roman"/>
              </w:rPr>
              <w:t>僅能擇</w:t>
            </w:r>
            <w:proofErr w:type="gramEnd"/>
            <w:r>
              <w:rPr>
                <w:rFonts w:ascii="Times New Roman" w:eastAsia="標楷體" w:hAnsi="Times New Roman"/>
              </w:rPr>
              <w:t>一人計點。</w:t>
            </w:r>
          </w:p>
        </w:tc>
      </w:tr>
    </w:tbl>
    <w:p w:rsidR="002B67A6" w:rsidRDefault="002B67A6">
      <w:pPr>
        <w:widowControl/>
        <w:rPr>
          <w:rFonts w:ascii="Times New Roman" w:eastAsia="標楷體" w:hAnsi="Times New Roman"/>
          <w:sz w:val="44"/>
          <w:szCs w:val="48"/>
        </w:rPr>
      </w:pPr>
    </w:p>
    <w:sectPr w:rsidR="002B67A6">
      <w:footerReference w:type="default" r:id="rId7"/>
      <w:pgSz w:w="12240" w:h="15840"/>
      <w:pgMar w:top="1134" w:right="1134" w:bottom="1134" w:left="1134" w:header="567" w:footer="227" w:gutter="0"/>
      <w:pgNumType w:start="1"/>
      <w:cols w:space="720"/>
      <w:docGrid w:type="lines" w:linePitch="1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6EF" w:rsidRDefault="007D66EF">
      <w:r>
        <w:separator/>
      </w:r>
    </w:p>
  </w:endnote>
  <w:endnote w:type="continuationSeparator" w:id="0">
    <w:p w:rsidR="007D66EF" w:rsidRDefault="007D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30F" w:rsidRDefault="00FC01AE">
    <w:pPr>
      <w:pStyle w:val="a3"/>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9C330F" w:rsidRDefault="007D66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6EF" w:rsidRDefault="007D66EF">
      <w:r>
        <w:rPr>
          <w:color w:val="000000"/>
        </w:rPr>
        <w:separator/>
      </w:r>
    </w:p>
  </w:footnote>
  <w:footnote w:type="continuationSeparator" w:id="0">
    <w:p w:rsidR="007D66EF" w:rsidRDefault="007D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51B48"/>
    <w:multiLevelType w:val="multilevel"/>
    <w:tmpl w:val="B8D2DBD4"/>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DD914BA"/>
    <w:multiLevelType w:val="multilevel"/>
    <w:tmpl w:val="9A1A48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70037173"/>
    <w:multiLevelType w:val="multilevel"/>
    <w:tmpl w:val="162AA78C"/>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A6"/>
    <w:rsid w:val="000428CD"/>
    <w:rsid w:val="002B67A6"/>
    <w:rsid w:val="004C1F39"/>
    <w:rsid w:val="004C3A92"/>
    <w:rsid w:val="0051709B"/>
    <w:rsid w:val="00527A1F"/>
    <w:rsid w:val="007D66EF"/>
    <w:rsid w:val="00A1039A"/>
    <w:rsid w:val="00A9473C"/>
    <w:rsid w:val="00B269A3"/>
    <w:rsid w:val="00B34D44"/>
    <w:rsid w:val="00BA1388"/>
    <w:rsid w:val="00CC4769"/>
    <w:rsid w:val="00D11FA6"/>
    <w:rsid w:val="00FC0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25F8"/>
  <w15:docId w15:val="{8D78ECBA-62A3-49A6-9F27-C59D2BC0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Body Text"/>
    <w:basedOn w:val="a"/>
    <w:pPr>
      <w:spacing w:after="120"/>
    </w:pPr>
    <w:rPr>
      <w:rFonts w:ascii="Times New Roman" w:hAnsi="Times New Roman"/>
      <w:szCs w:val="24"/>
    </w:rPr>
  </w:style>
  <w:style w:type="character" w:customStyle="1" w:styleId="a6">
    <w:name w:val="本文 字元"/>
    <w:basedOn w:val="a0"/>
    <w:rPr>
      <w:rFonts w:ascii="Times New Roman" w:eastAsia="新細明體" w:hAnsi="Times New Roman" w:cs="Times New Roman"/>
      <w:szCs w:val="24"/>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2346</Words>
  <Characters>13374</Characters>
  <Application>Microsoft Office Word</Application>
  <DocSecurity>0</DocSecurity>
  <Lines>111</Lines>
  <Paragraphs>31</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5</cp:revision>
  <cp:lastPrinted>2021-11-12T08:50:00Z</cp:lastPrinted>
  <dcterms:created xsi:type="dcterms:W3CDTF">2023-03-13T02:34:00Z</dcterms:created>
  <dcterms:modified xsi:type="dcterms:W3CDTF">2023-06-09T05:39:00Z</dcterms:modified>
</cp:coreProperties>
</file>